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D40FA">
      <w:pPr>
        <w:jc w:val="center"/>
        <w:rPr>
          <w:rFonts w:hint="eastAsia" w:ascii="宋体" w:hAnsi="宋体" w:cs="宋体"/>
          <w:b/>
          <w:bCs/>
          <w:sz w:val="36"/>
          <w:szCs w:val="36"/>
        </w:rPr>
      </w:pPr>
      <w:r>
        <w:rPr>
          <w:rFonts w:hint="eastAsia" w:ascii="宋体" w:hAnsi="宋体" w:cs="宋体"/>
          <w:b/>
          <w:bCs/>
          <w:sz w:val="36"/>
          <w:szCs w:val="36"/>
          <w:lang w:val="en-US" w:eastAsia="zh-CN"/>
        </w:rPr>
        <w:t>重庆师范大学</w:t>
      </w:r>
      <w:r>
        <w:rPr>
          <w:rFonts w:hint="eastAsia" w:ascii="宋体" w:hAnsi="宋体" w:cs="宋体"/>
          <w:b/>
          <w:bCs/>
          <w:sz w:val="36"/>
          <w:szCs w:val="36"/>
        </w:rPr>
        <w:t>重庆柴可夫斯基音乐学院</w:t>
      </w:r>
    </w:p>
    <w:p w14:paraId="4FA0DB58">
      <w:pPr>
        <w:jc w:val="center"/>
        <w:rPr>
          <w:rFonts w:hint="eastAsia" w:ascii="宋体" w:hAnsi="宋体" w:cs="宋体"/>
        </w:rPr>
      </w:pPr>
      <w:r>
        <w:rPr>
          <w:rFonts w:hint="eastAsia" w:ascii="宋体" w:hAnsi="宋体" w:cs="宋体"/>
          <w:b/>
          <w:bCs/>
          <w:sz w:val="36"/>
          <w:szCs w:val="36"/>
        </w:rPr>
        <w:t>2026年音乐类</w:t>
      </w:r>
      <w:r>
        <w:rPr>
          <w:rFonts w:hint="eastAsia" w:ascii="宋体" w:hAnsi="宋体" w:cs="宋体"/>
          <w:b/>
          <w:bCs/>
          <w:sz w:val="36"/>
          <w:szCs w:val="36"/>
          <w:lang w:val="en-US" w:eastAsia="zh-CN"/>
        </w:rPr>
        <w:t>本科</w:t>
      </w:r>
      <w:r>
        <w:rPr>
          <w:rFonts w:hint="eastAsia" w:ascii="宋体" w:hAnsi="宋体" w:cs="宋体"/>
          <w:b/>
          <w:bCs/>
          <w:sz w:val="36"/>
          <w:szCs w:val="36"/>
        </w:rPr>
        <w:t>专业招生宣传册</w:t>
      </w:r>
    </w:p>
    <w:p w14:paraId="7DAD3122"/>
    <w:p w14:paraId="7DB65054">
      <w:pPr>
        <w:ind w:firstLine="562" w:firstLineChars="200"/>
        <w:rPr>
          <w:b/>
          <w:bCs/>
          <w:sz w:val="28"/>
          <w:szCs w:val="28"/>
        </w:rPr>
      </w:pPr>
      <w:r>
        <w:rPr>
          <w:rFonts w:hint="eastAsia"/>
          <w:b/>
          <w:bCs/>
          <w:sz w:val="28"/>
          <w:szCs w:val="28"/>
        </w:rPr>
        <w:t>一、学院概况</w:t>
      </w:r>
    </w:p>
    <w:p w14:paraId="557D16CA">
      <w:pPr>
        <w:ind w:firstLine="480" w:firstLineChars="200"/>
        <w:rPr>
          <w:rFonts w:hint="eastAsia" w:ascii="宋体" w:hAnsi="宋体" w:cs="宋体"/>
          <w:color w:val="auto"/>
        </w:rPr>
      </w:pPr>
      <w:r>
        <w:rPr>
          <w:rFonts w:hint="eastAsia" w:ascii="宋体" w:hAnsi="宋体" w:cs="宋体"/>
        </w:rPr>
        <w:t>重庆</w:t>
      </w:r>
      <w:r>
        <w:rPr>
          <w:rFonts w:hint="eastAsia" w:ascii="宋体" w:hAnsi="宋体" w:cs="宋体"/>
          <w:lang w:val="en-US" w:eastAsia="zh-CN"/>
        </w:rPr>
        <w:t>师范大学重庆</w:t>
      </w:r>
      <w:r>
        <w:rPr>
          <w:rFonts w:hint="eastAsia" w:ascii="宋体" w:hAnsi="宋体" w:cs="宋体"/>
        </w:rPr>
        <w:t>柴可夫斯基音乐学院（以下简称“重庆柴院”）是经教育部批准，由重庆师范大学与</w:t>
      </w:r>
      <w:r>
        <w:rPr>
          <w:rFonts w:hint="eastAsia" w:ascii="宋体" w:hAnsi="宋体" w:cs="宋体"/>
          <w:color w:val="0000FF"/>
          <w:lang w:val="en-US" w:eastAsia="zh-CN"/>
        </w:rPr>
        <w:t>俄罗斯</w:t>
      </w:r>
      <w:r>
        <w:rPr>
          <w:rFonts w:hint="eastAsia" w:ascii="宋体" w:hAnsi="宋体" w:cs="宋体"/>
          <w:color w:val="0000FF"/>
        </w:rPr>
        <w:t>莫斯科国立柴</w:t>
      </w:r>
      <w:r>
        <w:rPr>
          <w:rFonts w:hint="eastAsia" w:ascii="宋体" w:hAnsi="宋体" w:cs="宋体"/>
          <w:color w:val="0000FF"/>
          <w:lang w:val="en-US" w:eastAsia="zh-CN"/>
        </w:rPr>
        <w:t>可</w:t>
      </w:r>
      <w:r>
        <w:rPr>
          <w:rFonts w:hint="eastAsia" w:ascii="宋体" w:hAnsi="宋体" w:cs="宋体"/>
          <w:color w:val="0000FF"/>
        </w:rPr>
        <w:t>夫斯基音乐学院</w:t>
      </w:r>
      <w:r>
        <w:rPr>
          <w:rFonts w:hint="eastAsia" w:ascii="宋体" w:hAnsi="宋体" w:cs="宋体"/>
        </w:rPr>
        <w:t>（以下简称“莫斯科柴院”）合作创办的非独立法人中外合作办学机构</w:t>
      </w:r>
      <w:r>
        <w:rPr>
          <w:rFonts w:hint="eastAsia" w:ascii="宋体" w:hAnsi="宋体" w:cs="宋体"/>
          <w:lang w:eastAsia="zh-CN"/>
        </w:rPr>
        <w:t>。</w:t>
      </w:r>
      <w:r>
        <w:rPr>
          <w:rFonts w:hint="eastAsia" w:ascii="宋体" w:hAnsi="宋体" w:cs="宋体"/>
          <w:lang w:val="en-US" w:eastAsia="zh-CN"/>
        </w:rPr>
        <w:t>重庆师范大学</w:t>
      </w:r>
      <w:r>
        <w:rPr>
          <w:rFonts w:hint="eastAsia" w:ascii="宋体" w:hAnsi="宋体" w:cs="宋体"/>
        </w:rPr>
        <w:t>是莫斯科柴院</w:t>
      </w:r>
      <w:r>
        <w:rPr>
          <w:rFonts w:hint="eastAsia" w:ascii="宋体" w:hAnsi="宋体" w:cs="宋体"/>
          <w:lang w:val="en-US" w:eastAsia="zh-CN"/>
        </w:rPr>
        <w:t>办学</w:t>
      </w:r>
      <w:r>
        <w:rPr>
          <w:rFonts w:hint="eastAsia" w:ascii="宋体" w:hAnsi="宋体" w:cs="宋体"/>
        </w:rPr>
        <w:t>160年以来全球</w:t>
      </w:r>
      <w:r>
        <w:rPr>
          <w:rFonts w:hint="eastAsia" w:ascii="宋体" w:hAnsi="宋体" w:cs="宋体"/>
          <w:lang w:val="en-US" w:eastAsia="zh-CN"/>
        </w:rPr>
        <w:t>唯一合作办学伙伴</w:t>
      </w:r>
      <w:r>
        <w:rPr>
          <w:rFonts w:hint="eastAsia" w:ascii="宋体" w:hAnsi="宋体" w:cs="宋体"/>
        </w:rPr>
        <w:t>。重庆柴院</w:t>
      </w:r>
      <w:r>
        <w:rPr>
          <w:rFonts w:hint="eastAsia" w:ascii="宋体" w:hAnsi="宋体" w:cs="宋体"/>
          <w:lang w:eastAsia="zh-CN"/>
        </w:rPr>
        <w:t>是</w:t>
      </w:r>
      <w:r>
        <w:rPr>
          <w:rFonts w:hint="eastAsia" w:ascii="宋体" w:hAnsi="宋体" w:cs="宋体"/>
          <w:lang w:val="en-US" w:eastAsia="zh-CN"/>
        </w:rPr>
        <w:t>重庆师范大学的二级学院，</w:t>
      </w:r>
      <w:r>
        <w:rPr>
          <w:rFonts w:hint="eastAsia" w:ascii="宋体" w:hAnsi="宋体" w:cs="宋体"/>
        </w:rPr>
        <w:t>设有独立办公区域和教学场所，</w:t>
      </w:r>
      <w:r>
        <w:rPr>
          <w:rFonts w:hint="eastAsia" w:ascii="宋体" w:hAnsi="宋体" w:cs="宋体"/>
          <w:color w:val="auto"/>
        </w:rPr>
        <w:t>配备</w:t>
      </w:r>
      <w:bookmarkStart w:id="0" w:name="_GoBack"/>
      <w:bookmarkEnd w:id="0"/>
      <w:r>
        <w:rPr>
          <w:rFonts w:hint="eastAsia" w:ascii="宋体" w:hAnsi="宋体" w:cs="宋体"/>
          <w:color w:val="auto"/>
          <w:lang w:val="en-US" w:eastAsia="zh-CN"/>
        </w:rPr>
        <w:t>优质的</w:t>
      </w:r>
      <w:r>
        <w:rPr>
          <w:rFonts w:hint="eastAsia" w:ascii="宋体" w:hAnsi="宋体" w:cs="宋体"/>
          <w:color w:val="auto"/>
        </w:rPr>
        <w:t>硬件设施和</w:t>
      </w:r>
      <w:r>
        <w:rPr>
          <w:rFonts w:hint="eastAsia" w:ascii="宋体" w:hAnsi="宋体" w:cs="宋体"/>
          <w:color w:val="auto"/>
          <w:lang w:val="en-US" w:eastAsia="zh-CN"/>
        </w:rPr>
        <w:t>一流</w:t>
      </w:r>
      <w:r>
        <w:rPr>
          <w:rFonts w:hint="eastAsia" w:ascii="宋体" w:hAnsi="宋体" w:cs="宋体"/>
          <w:color w:val="auto"/>
        </w:rPr>
        <w:t>师资力量，全面引进莫斯科柴院</w:t>
      </w:r>
      <w:r>
        <w:rPr>
          <w:rFonts w:hint="eastAsia" w:ascii="宋体" w:hAnsi="宋体" w:cs="宋体"/>
          <w:color w:val="auto"/>
          <w:lang w:val="en-US" w:eastAsia="zh-CN"/>
        </w:rPr>
        <w:t>独特的教育理念、培养模式、课程体系、教学方法和师资队伍</w:t>
      </w:r>
      <w:r>
        <w:rPr>
          <w:rFonts w:hint="eastAsia" w:ascii="宋体" w:hAnsi="宋体" w:cs="宋体"/>
          <w:color w:val="auto"/>
          <w:lang w:eastAsia="zh-CN"/>
        </w:rPr>
        <w:t>，</w:t>
      </w:r>
      <w:r>
        <w:rPr>
          <w:rFonts w:hint="eastAsia" w:ascii="宋体" w:hAnsi="宋体" w:cs="宋体"/>
          <w:color w:val="auto"/>
        </w:rPr>
        <w:t>致力于培养</w:t>
      </w:r>
      <w:r>
        <w:rPr>
          <w:rFonts w:hint="eastAsia" w:ascii="宋体" w:hAnsi="宋体" w:cs="宋体"/>
          <w:color w:val="0000FF"/>
        </w:rPr>
        <w:t>高</w:t>
      </w:r>
      <w:r>
        <w:rPr>
          <w:rFonts w:hint="eastAsia" w:ascii="宋体" w:hAnsi="宋体" w:cs="宋体"/>
          <w:color w:val="0000FF"/>
          <w:lang w:val="en-US" w:eastAsia="zh-CN"/>
        </w:rPr>
        <w:t>水平</w:t>
      </w:r>
      <w:r>
        <w:rPr>
          <w:rFonts w:hint="eastAsia" w:ascii="宋体" w:hAnsi="宋体" w:cs="宋体"/>
          <w:color w:val="auto"/>
        </w:rPr>
        <w:t>专业化音乐人才。2026年，重庆柴院将招收首批本科</w:t>
      </w:r>
      <w:r>
        <w:rPr>
          <w:rFonts w:hint="eastAsia" w:ascii="宋体" w:hAnsi="宋体" w:cs="宋体"/>
          <w:color w:val="auto"/>
          <w:lang w:val="en-US" w:eastAsia="zh-CN"/>
        </w:rPr>
        <w:t>学</w:t>
      </w:r>
      <w:r>
        <w:rPr>
          <w:rFonts w:hint="eastAsia" w:ascii="宋体" w:hAnsi="宋体" w:cs="宋体"/>
          <w:color w:val="auto"/>
        </w:rPr>
        <w:t>生。</w:t>
      </w:r>
    </w:p>
    <w:p w14:paraId="1191B10C">
      <w:pPr>
        <w:ind w:firstLine="562" w:firstLineChars="200"/>
        <w:rPr>
          <w:b/>
          <w:bCs/>
          <w:sz w:val="28"/>
          <w:szCs w:val="28"/>
        </w:rPr>
      </w:pPr>
      <w:r>
        <w:rPr>
          <w:rFonts w:hint="eastAsia"/>
          <w:b/>
          <w:bCs/>
          <w:sz w:val="28"/>
          <w:szCs w:val="28"/>
        </w:rPr>
        <w:t>二、就读校址</w:t>
      </w:r>
    </w:p>
    <w:p w14:paraId="7D41C5F5">
      <w:r>
        <w:rPr>
          <w:rFonts w:hint="eastAsia"/>
        </w:rPr>
        <w:t xml:space="preserve">    重庆师范大学大学城校区（重庆市沙坪坝区大学城中路37号）。</w:t>
      </w:r>
    </w:p>
    <w:p w14:paraId="6A681D4B">
      <w:pPr>
        <w:ind w:firstLine="562" w:firstLineChars="200"/>
        <w:rPr>
          <w:b/>
          <w:bCs/>
          <w:sz w:val="28"/>
          <w:szCs w:val="28"/>
        </w:rPr>
      </w:pPr>
      <w:r>
        <w:rPr>
          <w:rFonts w:hint="eastAsia"/>
          <w:b/>
          <w:bCs/>
          <w:sz w:val="28"/>
          <w:szCs w:val="28"/>
        </w:rPr>
        <w:t>三、办学类型</w:t>
      </w:r>
    </w:p>
    <w:p w14:paraId="35B3AB59">
      <w:pPr>
        <w:rPr>
          <w:rFonts w:hint="eastAsia" w:eastAsia="宋体"/>
          <w:lang w:val="en-US" w:eastAsia="zh-CN"/>
        </w:rPr>
      </w:pPr>
      <w:r>
        <w:rPr>
          <w:rFonts w:hint="eastAsia"/>
        </w:rPr>
        <w:t xml:space="preserve">    公办</w:t>
      </w:r>
      <w:r>
        <w:rPr>
          <w:rFonts w:hint="eastAsia"/>
          <w:lang w:val="en-US" w:eastAsia="zh-CN"/>
        </w:rPr>
        <w:t>本科</w:t>
      </w:r>
    </w:p>
    <w:p w14:paraId="74EF44E4">
      <w:pPr>
        <w:ind w:firstLine="562" w:firstLineChars="200"/>
        <w:rPr>
          <w:b/>
          <w:bCs/>
          <w:sz w:val="28"/>
          <w:szCs w:val="28"/>
        </w:rPr>
      </w:pPr>
      <w:r>
        <w:rPr>
          <w:rFonts w:hint="eastAsia"/>
          <w:b/>
          <w:bCs/>
          <w:sz w:val="28"/>
          <w:szCs w:val="28"/>
        </w:rPr>
        <w:t>四、办学层次</w:t>
      </w:r>
    </w:p>
    <w:p w14:paraId="24CBE73C">
      <w:r>
        <w:rPr>
          <w:rFonts w:hint="eastAsia"/>
        </w:rPr>
        <w:t xml:space="preserve">    本科</w:t>
      </w:r>
    </w:p>
    <w:p w14:paraId="36DAE6D7">
      <w:pPr>
        <w:ind w:firstLine="562" w:firstLineChars="200"/>
        <w:rPr>
          <w:b/>
          <w:bCs/>
          <w:sz w:val="28"/>
          <w:szCs w:val="28"/>
        </w:rPr>
      </w:pPr>
      <w:r>
        <w:rPr>
          <w:rFonts w:hint="eastAsia"/>
          <w:b/>
          <w:bCs/>
          <w:sz w:val="28"/>
          <w:szCs w:val="28"/>
        </w:rPr>
        <w:t>五、专业设置</w:t>
      </w:r>
    </w:p>
    <w:p w14:paraId="5AC10147">
      <w:pPr>
        <w:ind w:firstLine="482" w:firstLineChars="200"/>
        <w:rPr>
          <w:rFonts w:hint="eastAsia" w:ascii="宋体" w:hAnsi="宋体" w:eastAsia="宋体" w:cs="宋体"/>
          <w:b/>
          <w:bCs/>
          <w:lang w:eastAsia="zh-CN"/>
        </w:rPr>
      </w:pPr>
      <w:r>
        <w:rPr>
          <w:rFonts w:hint="eastAsia" w:ascii="宋体" w:hAnsi="宋体" w:cs="宋体"/>
          <w:b/>
          <w:bCs/>
        </w:rPr>
        <w:t>（一）音乐表演</w:t>
      </w:r>
      <w:r>
        <w:rPr>
          <w:rFonts w:hint="eastAsia" w:ascii="宋体" w:hAnsi="宋体" w:cs="宋体"/>
          <w:b/>
          <w:bCs/>
          <w:lang w:eastAsia="zh-CN"/>
        </w:rPr>
        <w:t>（</w:t>
      </w:r>
      <w:r>
        <w:rPr>
          <w:rFonts w:hint="eastAsia" w:ascii="宋体" w:hAnsi="宋体" w:cs="宋体"/>
          <w:b/>
          <w:bCs/>
          <w:lang w:val="en-US" w:eastAsia="zh-CN"/>
        </w:rPr>
        <w:t>中外合作办学</w:t>
      </w:r>
      <w:r>
        <w:rPr>
          <w:rFonts w:hint="eastAsia" w:ascii="宋体" w:hAnsi="宋体" w:cs="宋体"/>
          <w:b/>
          <w:bCs/>
          <w:lang w:eastAsia="zh-CN"/>
        </w:rPr>
        <w:t>）</w:t>
      </w:r>
    </w:p>
    <w:p w14:paraId="405FBD17">
      <w:pPr>
        <w:ind w:firstLine="482" w:firstLineChars="200"/>
        <w:rPr>
          <w:rFonts w:hint="eastAsia" w:ascii="宋体" w:hAnsi="宋体" w:cs="宋体"/>
          <w:b/>
          <w:bCs/>
        </w:rPr>
      </w:pPr>
      <w:r>
        <w:rPr>
          <w:rFonts w:hint="eastAsia" w:ascii="宋体" w:hAnsi="宋体" w:cs="宋体"/>
          <w:b/>
          <w:bCs/>
        </w:rPr>
        <w:t>1.培养目标</w:t>
      </w:r>
    </w:p>
    <w:p w14:paraId="4840C126">
      <w:pPr>
        <w:keepNext w:val="0"/>
        <w:keepLines w:val="0"/>
        <w:pageBreakBefore w:val="0"/>
        <w:widowControl w:val="0"/>
        <w:kinsoku/>
        <w:wordWrap/>
        <w:overflowPunct w:val="0"/>
        <w:topLinePunct w:val="0"/>
        <w:autoSpaceDE w:val="0"/>
        <w:autoSpaceDN w:val="0"/>
        <w:bidi w:val="0"/>
        <w:adjustRightInd w:val="0"/>
        <w:snapToGrid w:val="0"/>
        <w:spacing w:line="360" w:lineRule="auto"/>
        <w:ind w:firstLine="480" w:firstLineChars="200"/>
        <w:jc w:val="both"/>
        <w:textAlignment w:val="baseline"/>
        <w:rPr>
          <w:rFonts w:hint="eastAsia" w:ascii="宋体" w:hAnsi="宋体" w:cs="宋体"/>
          <w:color w:val="0000FF"/>
        </w:rPr>
      </w:pPr>
      <w:r>
        <w:rPr>
          <w:rFonts w:hint="default" w:ascii="Times New Roman" w:hAnsi="Times New Roman" w:eastAsia="宋体" w:cs="Times New Roman"/>
          <w:color w:val="auto"/>
          <w:sz w:val="24"/>
          <w:szCs w:val="24"/>
          <w:lang w:eastAsia="zh-CN" w:bidi="ar"/>
        </w:rPr>
        <w:t>音乐表演</w:t>
      </w: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中外合作办学</w:t>
      </w:r>
      <w:r>
        <w:rPr>
          <w:rFonts w:hint="eastAsia"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eastAsia="zh-CN" w:bidi="ar"/>
        </w:rPr>
        <w:t>专业贯彻落实党的教育方针和立德树人根本任务，专注培养德、智、体、美、劳全面发展的音乐表演复合型应用人才，具有高尚的审美情操和自觉的审美意识，具备扎实的音乐理论基础知识和国际一流的音乐表演才能，能够胜任文艺团体和艺术院校独奏、重奏、合奏</w:t>
      </w: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独唱、合唱、指挥</w:t>
      </w:r>
      <w:r>
        <w:rPr>
          <w:rFonts w:hint="default" w:ascii="Times New Roman" w:hAnsi="Times New Roman" w:eastAsia="宋体" w:cs="Times New Roman"/>
          <w:color w:val="auto"/>
          <w:sz w:val="24"/>
          <w:szCs w:val="24"/>
          <w:lang w:eastAsia="zh-CN" w:bidi="ar"/>
        </w:rPr>
        <w:t>等表演</w:t>
      </w:r>
      <w:r>
        <w:rPr>
          <w:rFonts w:hint="eastAsia" w:ascii="Times New Roman" w:hAnsi="Times New Roman" w:cs="Times New Roman"/>
          <w:color w:val="0000FF"/>
          <w:sz w:val="24"/>
          <w:szCs w:val="24"/>
          <w:lang w:val="en-US" w:eastAsia="zh-CN" w:bidi="ar"/>
        </w:rPr>
        <w:t>或教学</w:t>
      </w:r>
      <w:r>
        <w:rPr>
          <w:rFonts w:hint="default" w:ascii="Times New Roman" w:hAnsi="Times New Roman" w:eastAsia="宋体" w:cs="Times New Roman"/>
          <w:color w:val="auto"/>
          <w:sz w:val="24"/>
          <w:szCs w:val="24"/>
          <w:lang w:eastAsia="zh-CN" w:bidi="ar"/>
        </w:rPr>
        <w:t>，能够在国内国际重要赛事取得优异成绩。</w:t>
      </w:r>
    </w:p>
    <w:p w14:paraId="1AFB92D5">
      <w:pPr>
        <w:ind w:firstLine="482" w:firstLineChars="200"/>
        <w:rPr>
          <w:rFonts w:hint="eastAsia" w:ascii="宋体" w:hAnsi="宋体" w:cs="宋体"/>
        </w:rPr>
      </w:pPr>
      <w:r>
        <w:rPr>
          <w:rFonts w:hint="eastAsia" w:ascii="宋体" w:hAnsi="宋体" w:cs="宋体"/>
          <w:b/>
          <w:bCs/>
        </w:rPr>
        <w:t>2.核心课程</w:t>
      </w:r>
    </w:p>
    <w:p w14:paraId="043418F8">
      <w:pPr>
        <w:ind w:firstLine="480" w:firstLineChars="200"/>
        <w:rPr>
          <w:rFonts w:hint="eastAsia" w:ascii="宋体" w:hAnsi="宋体" w:cs="宋体"/>
          <w:lang w:bidi="ar"/>
        </w:rPr>
      </w:pPr>
      <w:r>
        <w:rPr>
          <w:rFonts w:hint="eastAsia" w:ascii="宋体" w:hAnsi="宋体" w:cs="宋体"/>
          <w:lang w:bidi="ar"/>
        </w:rPr>
        <w:t>专业主课、专业入门、专业教学法、视唱练耳、基础乐理、和声、复调、曲式分析、西方音乐史、中国传统音乐、音乐教育心理学、音乐信息、室内乐（钢琴方向）、艺术指导、视奏、管弦乐组课、第二乐器、乐队分谱视奏、钢琴（管弦乐方向）、弦乐四重奏/木管五重奏/打击乐合奏、室内乐（管弦乐方向）、合唱分谱法、合唱视唱、声乐基础、合唱视唱练耳、合唱编曲、合唱学、合唱组课、钢琴（合唱指挥方向）、声乐室内乐、歌剧表演、形体课、表演课、歌剧合唱表演、分谱法、钢琴（声乐方向）、歌剧排练、音乐声学、20-21世纪声乐风格、媒体音乐、现代分谱法、室内乐编曲等。</w:t>
      </w:r>
    </w:p>
    <w:p w14:paraId="74DB8338">
      <w:pPr>
        <w:ind w:firstLine="482" w:firstLineChars="200"/>
        <w:rPr>
          <w:rFonts w:hint="eastAsia" w:ascii="宋体" w:hAnsi="宋体" w:cs="宋体"/>
          <w:b/>
          <w:bCs/>
        </w:rPr>
      </w:pPr>
      <w:r>
        <w:rPr>
          <w:rFonts w:hint="eastAsia" w:ascii="宋体" w:hAnsi="宋体" w:cs="宋体"/>
          <w:b/>
          <w:bCs/>
        </w:rPr>
        <w:t>（二）音乐学</w:t>
      </w:r>
      <w:r>
        <w:rPr>
          <w:rFonts w:hint="eastAsia" w:ascii="宋体" w:hAnsi="宋体" w:cs="宋体"/>
          <w:b/>
          <w:bCs/>
          <w:lang w:eastAsia="zh-CN"/>
        </w:rPr>
        <w:t>（</w:t>
      </w:r>
      <w:r>
        <w:rPr>
          <w:rFonts w:hint="eastAsia" w:ascii="宋体" w:hAnsi="宋体" w:cs="宋体"/>
          <w:b/>
          <w:bCs/>
          <w:lang w:val="en-US" w:eastAsia="zh-CN"/>
        </w:rPr>
        <w:t>中外合作办学</w:t>
      </w:r>
      <w:r>
        <w:rPr>
          <w:rFonts w:hint="eastAsia" w:ascii="宋体" w:hAnsi="宋体" w:cs="宋体"/>
          <w:b/>
          <w:bCs/>
          <w:lang w:eastAsia="zh-CN"/>
        </w:rPr>
        <w:t>）</w:t>
      </w:r>
    </w:p>
    <w:p w14:paraId="0524D5EE">
      <w:pPr>
        <w:ind w:firstLine="482" w:firstLineChars="200"/>
        <w:rPr>
          <w:rFonts w:hint="eastAsia" w:ascii="宋体" w:hAnsi="宋体" w:cs="宋体"/>
          <w:b/>
          <w:bCs/>
        </w:rPr>
      </w:pPr>
      <w:r>
        <w:rPr>
          <w:rFonts w:hint="eastAsia" w:ascii="宋体" w:hAnsi="宋体" w:cs="宋体"/>
          <w:b/>
          <w:bCs/>
        </w:rPr>
        <w:t>1.培养目标</w:t>
      </w:r>
    </w:p>
    <w:p w14:paraId="1DE4032E">
      <w:pPr>
        <w:keepNext w:val="0"/>
        <w:keepLines w:val="0"/>
        <w:pageBreakBefore w:val="0"/>
        <w:widowControl w:val="0"/>
        <w:kinsoku/>
        <w:wordWrap w:val="0"/>
        <w:overflowPunct w:val="0"/>
        <w:topLinePunct/>
        <w:autoSpaceDE w:val="0"/>
        <w:autoSpaceDN/>
        <w:bidi w:val="0"/>
        <w:adjustRightInd w:val="0"/>
        <w:snapToGrid w:val="0"/>
        <w:spacing w:line="360" w:lineRule="auto"/>
        <w:ind w:firstLine="480" w:firstLineChars="200"/>
        <w:jc w:val="both"/>
        <w:rPr>
          <w:rFonts w:hint="eastAsia" w:ascii="宋体" w:hAnsi="宋体" w:cs="宋体"/>
          <w:color w:val="0000FF"/>
        </w:rPr>
      </w:pPr>
      <w:r>
        <w:rPr>
          <w:rFonts w:hint="eastAsia" w:ascii="宋体" w:hAnsi="宋体" w:cs="宋体"/>
          <w:color w:val="auto"/>
        </w:rPr>
        <w:t>音乐学</w:t>
      </w:r>
      <w:r>
        <w:rPr>
          <w:rFonts w:hint="eastAsia" w:ascii="宋体" w:hAnsi="宋体" w:cs="宋体"/>
          <w:color w:val="auto"/>
          <w:lang w:eastAsia="zh-CN"/>
        </w:rPr>
        <w:t>（</w:t>
      </w:r>
      <w:r>
        <w:rPr>
          <w:rFonts w:hint="eastAsia" w:ascii="宋体" w:hAnsi="宋体" w:cs="宋体"/>
          <w:color w:val="auto"/>
          <w:lang w:val="en-US" w:eastAsia="zh-CN"/>
        </w:rPr>
        <w:t>中外合作办学</w:t>
      </w:r>
      <w:r>
        <w:rPr>
          <w:rFonts w:hint="eastAsia" w:ascii="宋体" w:hAnsi="宋体" w:cs="宋体"/>
          <w:color w:val="auto"/>
          <w:lang w:eastAsia="zh-CN"/>
        </w:rPr>
        <w:t>）</w:t>
      </w:r>
      <w:r>
        <w:rPr>
          <w:rFonts w:hint="eastAsia" w:ascii="宋体" w:hAnsi="宋体" w:cs="宋体"/>
          <w:color w:val="auto"/>
        </w:rPr>
        <w:t>专业</w:t>
      </w:r>
      <w:r>
        <w:rPr>
          <w:rFonts w:hint="default" w:ascii="Times New Roman" w:hAnsi="Times New Roman" w:cs="Times New Roman"/>
          <w:snapToGrid w:val="0"/>
          <w:color w:val="auto"/>
          <w:sz w:val="24"/>
          <w:szCs w:val="24"/>
          <w:lang w:eastAsia="zh-CN"/>
        </w:rPr>
        <w:t>贯彻落实党的教育方针和立德树人根本任务，</w:t>
      </w:r>
      <w:r>
        <w:rPr>
          <w:rFonts w:hint="default" w:ascii="Times New Roman" w:hAnsi="Times New Roman" w:cs="Times New Roman"/>
          <w:color w:val="auto"/>
          <w:sz w:val="24"/>
          <w:szCs w:val="24"/>
          <w:lang w:eastAsia="zh-CN" w:bidi="ar"/>
        </w:rPr>
        <w:t>专注培养德、智、体、美、劳全面发展的音乐学领域专业人才，掌握音乐学相关理论知识，具备一定的音乐理论修养、全面的人文素养和宽广的国际文化视野，</w:t>
      </w:r>
      <w:r>
        <w:rPr>
          <w:rFonts w:hint="default" w:ascii="Times New Roman" w:hAnsi="Times New Roman" w:cs="Times New Roman"/>
          <w:color w:val="0000FF"/>
          <w:sz w:val="24"/>
          <w:szCs w:val="24"/>
          <w:lang w:eastAsia="zh-CN" w:bidi="ar"/>
        </w:rPr>
        <w:t>能</w:t>
      </w:r>
      <w:r>
        <w:rPr>
          <w:rFonts w:hint="eastAsia" w:ascii="Times New Roman" w:hAnsi="Times New Roman" w:cs="Times New Roman"/>
          <w:color w:val="0000FF"/>
          <w:sz w:val="24"/>
          <w:szCs w:val="24"/>
          <w:lang w:val="en-US" w:eastAsia="zh-CN" w:bidi="ar"/>
        </w:rPr>
        <w:t>够</w:t>
      </w:r>
      <w:r>
        <w:rPr>
          <w:rFonts w:hint="default" w:ascii="Times New Roman" w:hAnsi="Times New Roman" w:cs="Times New Roman"/>
          <w:color w:val="0000FF"/>
          <w:sz w:val="24"/>
          <w:szCs w:val="24"/>
          <w:lang w:eastAsia="zh-CN" w:bidi="ar"/>
        </w:rPr>
        <w:t>胜任研究机构、</w:t>
      </w:r>
      <w:r>
        <w:rPr>
          <w:rFonts w:hint="eastAsia" w:ascii="Times New Roman" w:hAnsi="Times New Roman" w:cs="Times New Roman"/>
          <w:color w:val="0000FF"/>
          <w:sz w:val="24"/>
          <w:szCs w:val="24"/>
          <w:lang w:val="en-US" w:eastAsia="zh-CN" w:bidi="ar"/>
        </w:rPr>
        <w:t>艺术</w:t>
      </w:r>
      <w:r>
        <w:rPr>
          <w:rFonts w:hint="default" w:ascii="Times New Roman" w:hAnsi="Times New Roman" w:cs="Times New Roman"/>
          <w:color w:val="0000FF"/>
          <w:sz w:val="24"/>
          <w:szCs w:val="24"/>
          <w:lang w:eastAsia="zh-CN" w:bidi="ar"/>
        </w:rPr>
        <w:t>院校、群众文化部门、社会文艺团体、广播电影电视部门以及网络媒体等相关</w:t>
      </w:r>
      <w:r>
        <w:rPr>
          <w:rFonts w:hint="eastAsia" w:ascii="Times New Roman" w:hAnsi="Times New Roman" w:cs="Times New Roman"/>
          <w:color w:val="0000FF"/>
          <w:sz w:val="24"/>
          <w:szCs w:val="24"/>
          <w:lang w:val="en-US" w:eastAsia="zh-CN" w:bidi="ar"/>
        </w:rPr>
        <w:t>机构或</w:t>
      </w:r>
      <w:r>
        <w:rPr>
          <w:rFonts w:hint="default" w:ascii="Times New Roman" w:hAnsi="Times New Roman" w:cs="Times New Roman"/>
          <w:color w:val="0000FF"/>
          <w:sz w:val="24"/>
          <w:szCs w:val="24"/>
          <w:lang w:eastAsia="zh-CN" w:bidi="ar"/>
        </w:rPr>
        <w:t>单位的</w:t>
      </w:r>
      <w:r>
        <w:rPr>
          <w:rFonts w:hint="eastAsia" w:ascii="Times New Roman" w:hAnsi="Times New Roman" w:cs="Times New Roman"/>
          <w:color w:val="0000FF"/>
          <w:sz w:val="24"/>
          <w:szCs w:val="24"/>
          <w:lang w:val="en-US" w:eastAsia="zh-CN" w:bidi="ar"/>
        </w:rPr>
        <w:t>音乐研究、教学、制作、编辑、运营等</w:t>
      </w:r>
      <w:r>
        <w:rPr>
          <w:rFonts w:hint="default" w:ascii="Times New Roman" w:hAnsi="Times New Roman" w:cs="Times New Roman"/>
          <w:color w:val="0000FF"/>
          <w:sz w:val="24"/>
          <w:szCs w:val="24"/>
          <w:lang w:eastAsia="zh-CN" w:bidi="ar"/>
        </w:rPr>
        <w:t>工作。</w:t>
      </w:r>
    </w:p>
    <w:p w14:paraId="31C94D35">
      <w:pPr>
        <w:ind w:firstLine="482" w:firstLineChars="200"/>
        <w:rPr>
          <w:rFonts w:hint="eastAsia" w:ascii="宋体" w:hAnsi="宋体" w:cs="宋体"/>
          <w:b/>
          <w:bCs/>
        </w:rPr>
      </w:pPr>
      <w:r>
        <w:rPr>
          <w:rFonts w:hint="eastAsia" w:ascii="宋体" w:hAnsi="宋体" w:cs="宋体"/>
          <w:b/>
          <w:bCs/>
        </w:rPr>
        <w:t>2.核心课程</w:t>
      </w:r>
    </w:p>
    <w:p w14:paraId="1D00F11C">
      <w:pPr>
        <w:ind w:firstLine="480" w:firstLineChars="200"/>
        <w:rPr>
          <w:rFonts w:hint="eastAsia" w:ascii="宋体" w:hAnsi="宋体" w:cs="宋体"/>
          <w:color w:val="auto"/>
        </w:rPr>
      </w:pPr>
      <w:r>
        <w:rPr>
          <w:rFonts w:hint="eastAsia" w:ascii="宋体" w:hAnsi="宋体" w:cs="宋体"/>
        </w:rPr>
        <w:t>专业主课、专业入门、史料学、古音乐文献学、视唱练耳、基础乐理、和声、复调、作品分析、世界音乐文化、西方音乐史、音乐理论体系、中国传统音乐、音乐教育心理学、分谱法历史、音乐信息、钢琴、分谱编曲、乐</w:t>
      </w:r>
      <w:r>
        <w:rPr>
          <w:rFonts w:hint="eastAsia" w:ascii="宋体" w:hAnsi="宋体" w:cs="宋体"/>
          <w:color w:val="auto"/>
        </w:rPr>
        <w:t>器学、总谱等。</w:t>
      </w:r>
    </w:p>
    <w:p w14:paraId="35BA133C">
      <w:pPr>
        <w:ind w:firstLine="562" w:firstLineChars="200"/>
        <w:rPr>
          <w:b/>
          <w:bCs/>
          <w:sz w:val="28"/>
          <w:szCs w:val="28"/>
        </w:rPr>
      </w:pPr>
      <w:r>
        <w:rPr>
          <w:rFonts w:hint="eastAsia"/>
          <w:b/>
          <w:bCs/>
          <w:sz w:val="28"/>
          <w:szCs w:val="28"/>
        </w:rPr>
        <w:t>六、专业优势</w:t>
      </w:r>
    </w:p>
    <w:p w14:paraId="69F5CD8B">
      <w:pPr>
        <w:ind w:firstLine="480" w:firstLineChars="200"/>
        <w:rPr>
          <w:rFonts w:hint="eastAsia" w:ascii="宋体" w:hAnsi="宋体" w:cs="宋体"/>
        </w:rPr>
      </w:pPr>
      <w:r>
        <w:rPr>
          <w:rFonts w:hint="eastAsia" w:ascii="宋体" w:hAnsi="宋体" w:cs="宋体"/>
          <w:color w:val="0000FF"/>
        </w:rPr>
        <w:t>引进</w:t>
      </w:r>
      <w:r>
        <w:rPr>
          <w:rFonts w:hint="eastAsia" w:ascii="宋体" w:hAnsi="宋体" w:cs="宋体"/>
          <w:color w:val="0000FF"/>
          <w:lang w:val="en-US" w:eastAsia="zh-CN"/>
        </w:rPr>
        <w:t>莫斯科柴院优质师资和核心课程，教学水平接近或达到莫斯科柴院水准</w:t>
      </w:r>
      <w:r>
        <w:rPr>
          <w:rFonts w:hint="eastAsia" w:ascii="宋体" w:hAnsi="宋体" w:cs="宋体"/>
          <w:color w:val="0000FF"/>
          <w:lang w:eastAsia="zh-CN"/>
        </w:rPr>
        <w:t>。</w:t>
      </w:r>
      <w:r>
        <w:rPr>
          <w:rFonts w:hint="eastAsia" w:ascii="宋体" w:hAnsi="宋体" w:cs="宋体"/>
        </w:rPr>
        <w:t>莫斯科柴院杰出教师和优秀毕业生</w:t>
      </w:r>
      <w:r>
        <w:rPr>
          <w:rFonts w:hint="eastAsia" w:ascii="宋体" w:hAnsi="宋体" w:cs="宋体"/>
          <w:lang w:val="en-US" w:eastAsia="zh-CN"/>
        </w:rPr>
        <w:t>将</w:t>
      </w:r>
      <w:r>
        <w:rPr>
          <w:rFonts w:hint="eastAsia" w:ascii="宋体" w:hAnsi="宋体" w:cs="宋体"/>
        </w:rPr>
        <w:t>在重庆柴院任教，外方教师承担专业核心课程门数占全部专业课程门数比例、外方教师承担的专业核心课程的教学时数占全部教学时数的比例均远超教育部规定的1/3。</w:t>
      </w:r>
    </w:p>
    <w:p w14:paraId="0E40AA7B">
      <w:pPr>
        <w:ind w:firstLine="562" w:firstLineChars="200"/>
        <w:rPr>
          <w:b/>
          <w:bCs/>
          <w:sz w:val="28"/>
          <w:szCs w:val="28"/>
        </w:rPr>
      </w:pPr>
      <w:r>
        <w:rPr>
          <w:rFonts w:hint="eastAsia"/>
          <w:b/>
          <w:bCs/>
          <w:sz w:val="28"/>
          <w:szCs w:val="28"/>
        </w:rPr>
        <w:t>七、招生计划</w:t>
      </w:r>
    </w:p>
    <w:p w14:paraId="409F7D83">
      <w:pPr>
        <w:ind w:firstLine="480" w:firstLineChars="200"/>
        <w:rPr>
          <w:rFonts w:hint="eastAsia" w:ascii="宋体" w:hAnsi="宋体" w:cs="宋体"/>
        </w:rPr>
      </w:pPr>
      <w:r>
        <w:rPr>
          <w:rFonts w:hint="eastAsia" w:ascii="宋体" w:hAnsi="宋体" w:cs="宋体"/>
        </w:rPr>
        <w:t>2026年重庆柴院拟招收100名本科生，其中音乐表演</w:t>
      </w:r>
      <w:r>
        <w:rPr>
          <w:rFonts w:hint="eastAsia" w:ascii="宋体" w:hAnsi="宋体" w:cs="宋体"/>
          <w:lang w:eastAsia="zh-CN"/>
        </w:rPr>
        <w:t>（</w:t>
      </w:r>
      <w:r>
        <w:rPr>
          <w:rFonts w:hint="eastAsia" w:ascii="宋体" w:hAnsi="宋体" w:cs="宋体"/>
          <w:lang w:val="en-US" w:eastAsia="zh-CN"/>
        </w:rPr>
        <w:t>中外合作办学</w:t>
      </w:r>
      <w:r>
        <w:rPr>
          <w:rFonts w:hint="eastAsia" w:ascii="宋体" w:hAnsi="宋体" w:cs="宋体"/>
          <w:lang w:eastAsia="zh-CN"/>
        </w:rPr>
        <w:t>）</w:t>
      </w:r>
      <w:r>
        <w:rPr>
          <w:rFonts w:hint="eastAsia" w:ascii="宋体" w:hAnsi="宋体" w:cs="宋体"/>
        </w:rPr>
        <w:t>90名，音乐学</w:t>
      </w:r>
      <w:r>
        <w:rPr>
          <w:rFonts w:hint="eastAsia" w:ascii="宋体" w:hAnsi="宋体" w:cs="宋体"/>
          <w:lang w:eastAsia="zh-CN"/>
        </w:rPr>
        <w:t>（</w:t>
      </w:r>
      <w:r>
        <w:rPr>
          <w:rFonts w:hint="eastAsia" w:ascii="宋体" w:hAnsi="宋体" w:cs="宋体"/>
          <w:lang w:val="en-US" w:eastAsia="zh-CN"/>
        </w:rPr>
        <w:t>中外合作办学</w:t>
      </w:r>
      <w:r>
        <w:rPr>
          <w:rFonts w:hint="eastAsia" w:ascii="宋体" w:hAnsi="宋体" w:cs="宋体"/>
          <w:lang w:eastAsia="zh-CN"/>
        </w:rPr>
        <w:t>）</w:t>
      </w:r>
      <w:r>
        <w:rPr>
          <w:rFonts w:hint="eastAsia" w:ascii="宋体" w:hAnsi="宋体" w:cs="宋体"/>
        </w:rPr>
        <w:t>10名。生源范围包括重庆、四川、河北、山西、江苏、浙江、山东、河南、辽宁、湖北、湖南、广东、云南、福建、内蒙古、贵州、江西、安徽、黑龙江</w:t>
      </w:r>
      <w:r>
        <w:rPr>
          <w:rFonts w:hint="eastAsia" w:ascii="宋体" w:hAnsi="宋体" w:cs="宋体"/>
          <w:lang w:eastAsia="zh-CN"/>
        </w:rPr>
        <w:t>等省（区、市）</w:t>
      </w:r>
      <w:r>
        <w:rPr>
          <w:rFonts w:hint="eastAsia" w:ascii="宋体" w:hAnsi="宋体" w:cs="宋体"/>
        </w:rPr>
        <w:t>。各省</w:t>
      </w:r>
      <w:r>
        <w:rPr>
          <w:rFonts w:hint="eastAsia" w:ascii="宋体" w:hAnsi="宋体" w:cs="宋体"/>
          <w:lang w:val="en-US" w:eastAsia="zh-CN"/>
        </w:rPr>
        <w:t>最终的</w:t>
      </w:r>
      <w:r>
        <w:rPr>
          <w:rFonts w:hint="eastAsia" w:ascii="宋体" w:hAnsi="宋体" w:cs="宋体"/>
        </w:rPr>
        <w:t>招生专业</w:t>
      </w:r>
      <w:r>
        <w:rPr>
          <w:rFonts w:hint="eastAsia" w:ascii="宋体" w:hAnsi="宋体" w:cs="宋体"/>
          <w:lang w:val="en-US" w:eastAsia="zh-CN"/>
        </w:rPr>
        <w:t>和招生计划</w:t>
      </w:r>
      <w:r>
        <w:rPr>
          <w:rFonts w:hint="eastAsia" w:ascii="宋体" w:hAnsi="宋体" w:cs="宋体"/>
        </w:rPr>
        <w:t>，以上级主管</w:t>
      </w:r>
      <w:r>
        <w:rPr>
          <w:rFonts w:hint="eastAsia" w:ascii="宋体" w:hAnsi="宋体" w:cs="宋体"/>
          <w:lang w:val="en-US" w:eastAsia="zh-CN"/>
        </w:rPr>
        <w:t>部门</w:t>
      </w:r>
      <w:r>
        <w:rPr>
          <w:rFonts w:hint="eastAsia" w:ascii="宋体" w:hAnsi="宋体" w:cs="宋体"/>
        </w:rPr>
        <w:t>公布的</w:t>
      </w:r>
      <w:r>
        <w:rPr>
          <w:rFonts w:hint="eastAsia" w:ascii="宋体" w:hAnsi="宋体" w:cs="宋体"/>
          <w:lang w:val="en-US" w:eastAsia="zh-CN"/>
        </w:rPr>
        <w:t>数据</w:t>
      </w:r>
      <w:r>
        <w:rPr>
          <w:rFonts w:hint="eastAsia" w:ascii="宋体" w:hAnsi="宋体" w:cs="宋体"/>
        </w:rPr>
        <w:t>为准。</w:t>
      </w:r>
    </w:p>
    <w:tbl>
      <w:tblPr>
        <w:tblStyle w:val="1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2160"/>
        <w:gridCol w:w="3305"/>
        <w:gridCol w:w="1634"/>
      </w:tblGrid>
      <w:tr w14:paraId="20D1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3581" w:type="dxa"/>
            <w:gridSpan w:val="2"/>
            <w:shd w:val="clear" w:color="auto" w:fill="auto"/>
            <w:vAlign w:val="center"/>
          </w:tcPr>
          <w:p w14:paraId="68FE29F3">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专业</w:t>
            </w:r>
          </w:p>
        </w:tc>
        <w:tc>
          <w:tcPr>
            <w:tcW w:w="3305" w:type="dxa"/>
            <w:vAlign w:val="center"/>
          </w:tcPr>
          <w:p w14:paraId="484D15A8">
            <w:pPr>
              <w:numPr>
                <w:ilvl w:val="0"/>
                <w:numId w:val="0"/>
              </w:num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方向或要求</w:t>
            </w:r>
          </w:p>
        </w:tc>
        <w:tc>
          <w:tcPr>
            <w:tcW w:w="1634" w:type="dxa"/>
            <w:vAlign w:val="center"/>
          </w:tcPr>
          <w:p w14:paraId="60F72713">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计划人数</w:t>
            </w:r>
          </w:p>
        </w:tc>
      </w:tr>
      <w:tr w14:paraId="159A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3581" w:type="dxa"/>
            <w:gridSpan w:val="2"/>
            <w:shd w:val="clear" w:color="auto" w:fill="auto"/>
            <w:vAlign w:val="center"/>
          </w:tcPr>
          <w:p w14:paraId="107FF173">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音乐学（中外合作办学）</w:t>
            </w:r>
          </w:p>
        </w:tc>
        <w:tc>
          <w:tcPr>
            <w:tcW w:w="3305" w:type="dxa"/>
            <w:vAlign w:val="center"/>
          </w:tcPr>
          <w:p w14:paraId="5C862DE9">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vertAlign w:val="baseline"/>
                <w:lang w:val="en-US" w:eastAsia="zh-CN"/>
              </w:rPr>
              <w:t>音乐史、</w:t>
            </w:r>
            <w:r>
              <w:rPr>
                <w:rFonts w:hint="eastAsia" w:ascii="方正仿宋_GBK" w:hAnsi="方正仿宋_GBK" w:eastAsia="方正仿宋_GBK" w:cs="方正仿宋_GBK"/>
                <w:i w:val="0"/>
                <w:iCs w:val="0"/>
                <w:color w:val="auto"/>
                <w:kern w:val="0"/>
                <w:sz w:val="24"/>
                <w:szCs w:val="24"/>
                <w:u w:val="none"/>
                <w:lang w:val="en-US" w:eastAsia="zh-CN" w:bidi="ar"/>
              </w:rPr>
              <w:t>音乐理论与</w:t>
            </w:r>
            <w:r>
              <w:rPr>
                <w:rFonts w:hint="eastAsia" w:ascii="方正仿宋_GBK" w:hAnsi="方正仿宋_GBK" w:eastAsia="方正仿宋_GBK" w:cs="方正仿宋_GBK"/>
                <w:i w:val="0"/>
                <w:iCs w:val="0"/>
                <w:color w:val="000000"/>
                <w:kern w:val="0"/>
                <w:sz w:val="24"/>
                <w:szCs w:val="24"/>
                <w:u w:val="none"/>
                <w:lang w:val="en-US" w:eastAsia="zh-CN" w:bidi="ar"/>
              </w:rPr>
              <w:t>评论</w:t>
            </w:r>
          </w:p>
        </w:tc>
        <w:tc>
          <w:tcPr>
            <w:tcW w:w="1634" w:type="dxa"/>
            <w:vAlign w:val="center"/>
          </w:tcPr>
          <w:p w14:paraId="31BA4C60">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r>
      <w:tr w14:paraId="7A95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421" w:type="dxa"/>
            <w:vMerge w:val="restart"/>
            <w:shd w:val="clear" w:color="auto" w:fill="auto"/>
            <w:vAlign w:val="center"/>
          </w:tcPr>
          <w:p w14:paraId="3C48FF9B">
            <w:pPr>
              <w:numPr>
                <w:ilvl w:val="0"/>
                <w:numId w:val="0"/>
              </w:numPr>
              <w:ind w:left="0" w:leftChars="0" w:firstLine="0" w:firstLineChars="0"/>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音乐表演（中外合作办学）</w:t>
            </w:r>
          </w:p>
        </w:tc>
        <w:tc>
          <w:tcPr>
            <w:tcW w:w="2160" w:type="dxa"/>
            <w:vAlign w:val="center"/>
          </w:tcPr>
          <w:p w14:paraId="32517943">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声乐</w:t>
            </w:r>
          </w:p>
        </w:tc>
        <w:tc>
          <w:tcPr>
            <w:tcW w:w="3305" w:type="dxa"/>
            <w:vAlign w:val="center"/>
          </w:tcPr>
          <w:p w14:paraId="1209B1F7">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美声唱法</w:t>
            </w:r>
          </w:p>
        </w:tc>
        <w:tc>
          <w:tcPr>
            <w:tcW w:w="1634" w:type="dxa"/>
            <w:vAlign w:val="center"/>
          </w:tcPr>
          <w:p w14:paraId="2C6EC582">
            <w:pPr>
              <w:numPr>
                <w:ilvl w:val="0"/>
                <w:numId w:val="0"/>
              </w:num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r>
      <w:tr w14:paraId="644B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421" w:type="dxa"/>
            <w:vMerge w:val="continue"/>
            <w:shd w:val="clear" w:color="auto" w:fill="auto"/>
            <w:vAlign w:val="center"/>
          </w:tcPr>
          <w:p w14:paraId="77A515F6">
            <w:pPr>
              <w:numPr>
                <w:ilvl w:val="0"/>
                <w:numId w:val="0"/>
              </w:numPr>
              <w:ind w:left="0" w:leftChars="0" w:firstLine="0" w:firstLineChars="0"/>
              <w:jc w:val="center"/>
              <w:rPr>
                <w:rFonts w:hint="eastAsia" w:ascii="方正仿宋_GBK" w:hAnsi="方正仿宋_GBK" w:eastAsia="方正仿宋_GBK" w:cs="方正仿宋_GBK"/>
                <w:kern w:val="2"/>
                <w:sz w:val="24"/>
                <w:szCs w:val="24"/>
                <w:vertAlign w:val="baseline"/>
                <w:lang w:val="en-US" w:eastAsia="zh-CN" w:bidi="ar-SA"/>
              </w:rPr>
            </w:pPr>
          </w:p>
        </w:tc>
        <w:tc>
          <w:tcPr>
            <w:tcW w:w="2160" w:type="dxa"/>
            <w:vAlign w:val="center"/>
          </w:tcPr>
          <w:p w14:paraId="059E1D97">
            <w:pPr>
              <w:numPr>
                <w:ilvl w:val="0"/>
                <w:numId w:val="0"/>
              </w:num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合唱指挥</w:t>
            </w:r>
          </w:p>
        </w:tc>
        <w:tc>
          <w:tcPr>
            <w:tcW w:w="3305" w:type="dxa"/>
            <w:vAlign w:val="center"/>
          </w:tcPr>
          <w:p w14:paraId="7E96ED3C">
            <w:pPr>
              <w:numPr>
                <w:ilvl w:val="0"/>
                <w:numId w:val="0"/>
              </w:num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i w:val="0"/>
                <w:iCs w:val="0"/>
                <w:color w:val="000000"/>
                <w:kern w:val="0"/>
                <w:sz w:val="24"/>
                <w:szCs w:val="24"/>
                <w:u w:val="none"/>
                <w:lang w:val="en-US" w:eastAsia="zh-CN" w:bidi="ar"/>
              </w:rPr>
              <w:t>美声唱法</w:t>
            </w:r>
          </w:p>
        </w:tc>
        <w:tc>
          <w:tcPr>
            <w:tcW w:w="1634" w:type="dxa"/>
            <w:vAlign w:val="center"/>
          </w:tcPr>
          <w:p w14:paraId="68D6B798">
            <w:pPr>
              <w:numPr>
                <w:ilvl w:val="0"/>
                <w:numId w:val="0"/>
              </w:num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r>
      <w:tr w14:paraId="2E9A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trPr>
        <w:tc>
          <w:tcPr>
            <w:tcW w:w="1421" w:type="dxa"/>
            <w:vMerge w:val="continue"/>
            <w:shd w:val="clear" w:color="auto" w:fill="auto"/>
            <w:vAlign w:val="center"/>
          </w:tcPr>
          <w:p w14:paraId="7A891D0B">
            <w:pPr>
              <w:numPr>
                <w:ilvl w:val="0"/>
                <w:numId w:val="0"/>
              </w:numPr>
              <w:ind w:left="0" w:leftChars="0" w:firstLine="0" w:firstLineChars="0"/>
              <w:jc w:val="center"/>
              <w:rPr>
                <w:rFonts w:hint="eastAsia" w:ascii="方正仿宋_GBK" w:hAnsi="方正仿宋_GBK" w:eastAsia="方正仿宋_GBK" w:cs="方正仿宋_GBK"/>
                <w:kern w:val="2"/>
                <w:sz w:val="24"/>
                <w:szCs w:val="24"/>
                <w:vertAlign w:val="baseline"/>
                <w:lang w:val="en-US" w:eastAsia="zh-CN" w:bidi="ar-SA"/>
              </w:rPr>
            </w:pPr>
          </w:p>
        </w:tc>
        <w:tc>
          <w:tcPr>
            <w:tcW w:w="2160" w:type="dxa"/>
            <w:shd w:val="clear" w:color="auto" w:fill="auto"/>
            <w:vAlign w:val="center"/>
          </w:tcPr>
          <w:p w14:paraId="1B6D8DC0">
            <w:pPr>
              <w:numPr>
                <w:ilvl w:val="0"/>
                <w:numId w:val="0"/>
              </w:numPr>
              <w:ind w:left="0" w:leftChars="0" w:firstLine="0" w:firstLineChars="0"/>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器乐</w:t>
            </w:r>
          </w:p>
        </w:tc>
        <w:tc>
          <w:tcPr>
            <w:tcW w:w="3305" w:type="dxa"/>
            <w:shd w:val="clear" w:color="auto" w:fill="auto"/>
            <w:vAlign w:val="center"/>
          </w:tcPr>
          <w:p w14:paraId="47B2FA8C">
            <w:pPr>
              <w:numPr>
                <w:ilvl w:val="0"/>
                <w:numId w:val="0"/>
              </w:numPr>
              <w:ind w:left="0" w:leftChars="0" w:firstLine="0" w:firstLineChars="0"/>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钢琴、小提琴、中提琴、大提琴、低音提琴、单簧管、双簧管</w:t>
            </w:r>
            <w:r>
              <w:rPr>
                <w:rFonts w:hint="eastAsia" w:ascii="方正仿宋_GBK" w:hAnsi="方正仿宋_GBK" w:eastAsia="方正仿宋_GBK" w:cs="方正仿宋_GBK"/>
                <w:i w:val="0"/>
                <w:iCs w:val="0"/>
                <w:color w:val="4874CB" w:themeColor="accent1"/>
                <w:kern w:val="0"/>
                <w:sz w:val="24"/>
                <w:szCs w:val="24"/>
                <w:u w:val="none"/>
                <w:lang w:val="en-US" w:eastAsia="zh-CN" w:bidi="ar"/>
                <w14:textFill>
                  <w14:solidFill>
                    <w14:schemeClr w14:val="accent1"/>
                  </w14:solidFill>
                </w14:textFill>
              </w:rPr>
              <w:t>、</w:t>
            </w:r>
            <w:r>
              <w:rPr>
                <w:rFonts w:hint="eastAsia" w:ascii="方正仿宋_GBK" w:hAnsi="方正仿宋_GBK" w:eastAsia="方正仿宋_GBK" w:cs="方正仿宋_GBK"/>
                <w:i w:val="0"/>
                <w:iCs w:val="0"/>
                <w:color w:val="000000"/>
                <w:kern w:val="0"/>
                <w:sz w:val="24"/>
                <w:szCs w:val="24"/>
                <w:u w:val="none"/>
                <w:lang w:val="en-US" w:eastAsia="zh-CN" w:bidi="ar"/>
              </w:rPr>
              <w:t>长笛（短笛）、小号、圆号、长号、大号、巴松</w:t>
            </w:r>
          </w:p>
        </w:tc>
        <w:tc>
          <w:tcPr>
            <w:tcW w:w="1634" w:type="dxa"/>
            <w:shd w:val="clear" w:color="auto" w:fill="auto"/>
            <w:vAlign w:val="center"/>
          </w:tcPr>
          <w:p w14:paraId="50FF56CB">
            <w:pPr>
              <w:numPr>
                <w:ilvl w:val="0"/>
                <w:numId w:val="0"/>
              </w:numPr>
              <w:ind w:left="0" w:leftChars="0" w:firstLine="0" w:firstLineChars="0"/>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65</w:t>
            </w:r>
          </w:p>
        </w:tc>
      </w:tr>
    </w:tbl>
    <w:p w14:paraId="0C159187">
      <w:pPr>
        <w:pStyle w:val="8"/>
        <w:rPr>
          <w:rFonts w:hint="eastAsia"/>
        </w:rPr>
      </w:pPr>
    </w:p>
    <w:p w14:paraId="023BD14C">
      <w:pPr>
        <w:ind w:firstLine="562" w:firstLineChars="200"/>
        <w:rPr>
          <w:rFonts w:hint="eastAsia" w:eastAsia="宋体"/>
          <w:b/>
          <w:bCs/>
          <w:sz w:val="28"/>
          <w:szCs w:val="28"/>
          <w:lang w:eastAsia="zh-CN"/>
        </w:rPr>
      </w:pPr>
      <w:r>
        <w:rPr>
          <w:rFonts w:hint="eastAsia" w:eastAsia="宋体"/>
          <w:b/>
          <w:bCs/>
          <w:sz w:val="28"/>
          <w:szCs w:val="28"/>
        </w:rPr>
        <w:t>八、</w:t>
      </w:r>
      <w:r>
        <w:rPr>
          <w:rFonts w:hint="eastAsia" w:eastAsia="宋体"/>
          <w:b/>
          <w:bCs/>
          <w:sz w:val="28"/>
          <w:szCs w:val="28"/>
          <w:lang w:val="en-US" w:eastAsia="zh-CN"/>
        </w:rPr>
        <w:t>招录方式</w:t>
      </w:r>
    </w:p>
    <w:p w14:paraId="30F89EFB">
      <w:pPr>
        <w:ind w:firstLine="480" w:firstLineChars="200"/>
        <w:rPr>
          <w:rFonts w:hint="default" w:eastAsia="宋体"/>
          <w:lang w:val="en-US" w:eastAsia="zh-CN"/>
        </w:rPr>
      </w:pPr>
      <w:r>
        <w:rPr>
          <w:rFonts w:hint="eastAsia" w:eastAsia="宋体"/>
          <w:lang w:eastAsia="zh-CN"/>
        </w:rPr>
        <w:t>纳入国家普通高等学校招生计划，参加全国普通高等学校统一入学考试，严格执行国家统一招生政策，</w:t>
      </w:r>
      <w:r>
        <w:rPr>
          <w:rFonts w:hint="eastAsia" w:eastAsia="宋体"/>
          <w:lang w:val="en-US" w:eastAsia="zh-CN"/>
        </w:rPr>
        <w:t>并符合相关招生录取规定和要求。</w:t>
      </w:r>
    </w:p>
    <w:p w14:paraId="2CFC3F89">
      <w:pPr>
        <w:ind w:firstLine="562" w:firstLineChars="200"/>
        <w:rPr>
          <w:b/>
          <w:bCs/>
          <w:sz w:val="28"/>
          <w:szCs w:val="28"/>
        </w:rPr>
      </w:pPr>
      <w:r>
        <w:rPr>
          <w:rFonts w:hint="eastAsia"/>
          <w:b/>
          <w:bCs/>
          <w:sz w:val="28"/>
          <w:szCs w:val="28"/>
        </w:rPr>
        <w:t>九、入学资格复查</w:t>
      </w:r>
    </w:p>
    <w:p w14:paraId="337380EA">
      <w:pPr>
        <w:ind w:firstLine="480" w:firstLineChars="200"/>
      </w:pPr>
      <w:r>
        <w:rPr>
          <w:rFonts w:hint="eastAsia"/>
        </w:rPr>
        <w:t>入学后进行专业能力复查，如发现</w:t>
      </w:r>
      <w:r>
        <w:rPr>
          <w:rFonts w:hint="eastAsia"/>
          <w:lang w:val="en-US" w:eastAsia="zh-CN"/>
        </w:rPr>
        <w:t>具有</w:t>
      </w:r>
      <w:r>
        <w:rPr>
          <w:rFonts w:hint="eastAsia"/>
        </w:rPr>
        <w:t>不适合学习的疾病、不符合报考条件要求或有关手续不全等弄虚作假行为的，将依法依规予以查处，随时发现、随时查处。</w:t>
      </w:r>
    </w:p>
    <w:p w14:paraId="6A4FD8B4">
      <w:pPr>
        <w:ind w:firstLine="562" w:firstLineChars="200"/>
        <w:rPr>
          <w:b/>
          <w:bCs/>
          <w:sz w:val="28"/>
          <w:szCs w:val="28"/>
        </w:rPr>
      </w:pPr>
      <w:r>
        <w:rPr>
          <w:rFonts w:hint="eastAsia"/>
          <w:b/>
          <w:bCs/>
          <w:sz w:val="28"/>
          <w:szCs w:val="28"/>
        </w:rPr>
        <w:t>十、收费标准</w:t>
      </w:r>
    </w:p>
    <w:p w14:paraId="63F9AFD1">
      <w:pPr>
        <w:ind w:firstLine="480" w:firstLineChars="200"/>
        <w:rPr>
          <w:rFonts w:hint="eastAsia" w:ascii="宋体" w:hAnsi="宋体" w:cs="宋体"/>
          <w:lang w:eastAsia="zh-CN"/>
        </w:rPr>
      </w:pPr>
      <w:r>
        <w:rPr>
          <w:rFonts w:hint="eastAsia" w:ascii="宋体" w:hAnsi="宋体" w:cs="宋体"/>
          <w:lang w:val="en-US" w:eastAsia="zh-CN"/>
        </w:rPr>
        <w:t>音乐学</w:t>
      </w:r>
      <w:r>
        <w:rPr>
          <w:rFonts w:hint="eastAsia" w:ascii="宋体" w:hAnsi="宋体" w:cs="宋体"/>
          <w:lang w:eastAsia="zh-CN"/>
        </w:rPr>
        <w:t>（</w:t>
      </w:r>
      <w:r>
        <w:rPr>
          <w:rFonts w:hint="eastAsia" w:ascii="宋体" w:hAnsi="宋体" w:cs="宋体"/>
          <w:lang w:val="en-US" w:eastAsia="zh-CN"/>
        </w:rPr>
        <w:t>中外合作办学</w:t>
      </w:r>
      <w:r>
        <w:rPr>
          <w:rFonts w:hint="eastAsia" w:ascii="宋体" w:hAnsi="宋体" w:cs="宋体"/>
          <w:lang w:eastAsia="zh-CN"/>
        </w:rPr>
        <w:t>）</w:t>
      </w:r>
      <w:r>
        <w:rPr>
          <w:rFonts w:hint="eastAsia" w:ascii="宋体" w:hAnsi="宋体" w:cs="宋体"/>
          <w:lang w:val="en-US" w:eastAsia="zh-CN"/>
        </w:rPr>
        <w:t>、音乐表演</w:t>
      </w:r>
      <w:r>
        <w:rPr>
          <w:rFonts w:hint="eastAsia" w:ascii="宋体" w:hAnsi="宋体" w:cs="宋体"/>
          <w:lang w:eastAsia="zh-CN"/>
        </w:rPr>
        <w:t>（</w:t>
      </w:r>
      <w:r>
        <w:rPr>
          <w:rFonts w:hint="eastAsia" w:ascii="宋体" w:hAnsi="宋体" w:cs="宋体"/>
          <w:lang w:val="en-US" w:eastAsia="zh-CN"/>
        </w:rPr>
        <w:t>中外合作办学</w:t>
      </w:r>
      <w:r>
        <w:rPr>
          <w:rFonts w:hint="eastAsia" w:ascii="宋体" w:hAnsi="宋体" w:cs="宋体"/>
          <w:lang w:eastAsia="zh-CN"/>
        </w:rPr>
        <w:t>）</w:t>
      </w:r>
      <w:r>
        <w:rPr>
          <w:rFonts w:hint="eastAsia" w:ascii="宋体" w:hAnsi="宋体" w:cs="宋体"/>
          <w:lang w:val="en-US" w:eastAsia="zh-CN"/>
        </w:rPr>
        <w:t>的学费标准为</w:t>
      </w:r>
      <w:r>
        <w:rPr>
          <w:rFonts w:hint="eastAsia" w:ascii="宋体" w:hAnsi="宋体" w:cs="宋体"/>
        </w:rPr>
        <w:t>6万元人民币/</w:t>
      </w:r>
      <w:r>
        <w:rPr>
          <w:rFonts w:hint="eastAsia" w:ascii="宋体" w:hAnsi="宋体" w:cs="宋体"/>
          <w:lang w:val="en-US" w:eastAsia="zh-CN"/>
        </w:rPr>
        <w:t>生·</w:t>
      </w:r>
      <w:r>
        <w:rPr>
          <w:rFonts w:hint="eastAsia" w:ascii="宋体" w:hAnsi="宋体" w:cs="宋体"/>
        </w:rPr>
        <w:t>年</w:t>
      </w:r>
      <w:r>
        <w:rPr>
          <w:rFonts w:hint="eastAsia" w:ascii="宋体" w:hAnsi="宋体" w:cs="宋体"/>
          <w:lang w:eastAsia="zh-CN"/>
        </w:rPr>
        <w:t>。</w:t>
      </w:r>
    </w:p>
    <w:p w14:paraId="1B8B7DF4">
      <w:pPr>
        <w:ind w:firstLine="562" w:firstLineChars="200"/>
        <w:rPr>
          <w:b/>
          <w:bCs/>
          <w:sz w:val="28"/>
          <w:szCs w:val="28"/>
        </w:rPr>
      </w:pPr>
      <w:r>
        <w:rPr>
          <w:rFonts w:hint="eastAsia"/>
          <w:b/>
          <w:bCs/>
          <w:sz w:val="28"/>
          <w:szCs w:val="28"/>
        </w:rPr>
        <w:t>十一、资助政策</w:t>
      </w:r>
    </w:p>
    <w:p w14:paraId="5F3E1764">
      <w:pPr>
        <w:ind w:firstLine="480" w:firstLineChars="200"/>
        <w:rPr>
          <w:rFonts w:hint="eastAsia" w:ascii="宋体" w:hAnsi="宋体" w:eastAsia="宋体" w:cs="宋体"/>
          <w:lang w:eastAsia="zh-CN"/>
        </w:rPr>
      </w:pPr>
      <w:r>
        <w:rPr>
          <w:rFonts w:hint="eastAsia" w:ascii="宋体" w:hAnsi="宋体" w:cs="宋体"/>
        </w:rPr>
        <w:t>重庆柴院执行国家和重庆市相关学生资助规定，被录取的家庭经济困难学生可通过“绿色通道”申请缓交学费快速注册入学，入学后可按规定申请国家奖学金、国家励志奖学金、国家助学贷款等。</w:t>
      </w:r>
    </w:p>
    <w:p w14:paraId="2AE8B885">
      <w:pPr>
        <w:ind w:firstLine="562" w:firstLineChars="200"/>
        <w:rPr>
          <w:b/>
          <w:bCs/>
          <w:sz w:val="28"/>
          <w:szCs w:val="28"/>
        </w:rPr>
      </w:pPr>
      <w:r>
        <w:rPr>
          <w:rFonts w:hint="eastAsia"/>
          <w:b/>
          <w:bCs/>
          <w:sz w:val="28"/>
          <w:szCs w:val="28"/>
        </w:rPr>
        <w:t>十二、证书颁发</w:t>
      </w:r>
    </w:p>
    <w:p w14:paraId="32844219">
      <w:pPr>
        <w:ind w:firstLine="480" w:firstLineChars="200"/>
        <w:rPr>
          <w:rFonts w:hint="default" w:eastAsia="宋体"/>
          <w:color w:val="auto"/>
          <w:lang w:val="en-US" w:eastAsia="zh-CN"/>
        </w:rPr>
      </w:pPr>
      <w:r>
        <w:rPr>
          <w:rFonts w:hint="eastAsia"/>
          <w:color w:val="auto"/>
          <w:lang w:val="en-US" w:eastAsia="zh-CN"/>
        </w:rPr>
        <w:t>学生通过全国普通高等学校统一入学考试，按重庆柴院本科教育要求完成全部课程，并符合重庆师范大学毕业和授位条件，获重庆师范大学颁发的本科毕业证书、艺术学学士学位证书。</w:t>
      </w:r>
    </w:p>
    <w:p w14:paraId="6FD22679">
      <w:pPr>
        <w:ind w:firstLine="562" w:firstLineChars="200"/>
        <w:rPr>
          <w:b/>
          <w:bCs/>
          <w:color w:val="auto"/>
          <w:sz w:val="28"/>
          <w:szCs w:val="28"/>
        </w:rPr>
      </w:pPr>
      <w:r>
        <w:rPr>
          <w:rFonts w:hint="eastAsia"/>
          <w:b/>
          <w:bCs/>
          <w:color w:val="auto"/>
          <w:sz w:val="28"/>
          <w:szCs w:val="28"/>
        </w:rPr>
        <w:t>十三、网址及联系方式</w:t>
      </w:r>
    </w:p>
    <w:p w14:paraId="11124A91">
      <w:pPr>
        <w:ind w:firstLine="480" w:firstLineChars="200"/>
        <w:rPr>
          <w:rFonts w:hint="default" w:ascii="宋体" w:hAnsi="宋体" w:eastAsia="宋体" w:cs="宋体"/>
          <w:color w:val="auto"/>
          <w:lang w:val="en-US" w:eastAsia="zh-CN"/>
        </w:rPr>
      </w:pPr>
      <w:r>
        <w:rPr>
          <w:rFonts w:hint="eastAsia" w:ascii="宋体" w:hAnsi="宋体" w:cs="宋体"/>
          <w:color w:val="auto"/>
          <w:lang w:val="en-US" w:eastAsia="zh-CN"/>
        </w:rPr>
        <w:t>重庆师范大学</w:t>
      </w:r>
      <w:r>
        <w:rPr>
          <w:rFonts w:hint="eastAsia" w:ascii="宋体" w:hAnsi="宋体" w:cs="宋体"/>
          <w:color w:val="auto"/>
        </w:rPr>
        <w:t>重庆</w:t>
      </w:r>
      <w:r>
        <w:rPr>
          <w:rFonts w:hint="eastAsia" w:ascii="宋体" w:hAnsi="宋体" w:cs="宋体"/>
          <w:color w:val="auto"/>
          <w:lang w:val="en-US" w:eastAsia="zh-CN"/>
        </w:rPr>
        <w:t>柴可夫斯基音乐学院</w:t>
      </w:r>
      <w:r>
        <w:rPr>
          <w:rFonts w:hint="eastAsia" w:ascii="宋体" w:hAnsi="宋体" w:cs="宋体"/>
          <w:color w:val="auto"/>
        </w:rPr>
        <w:t>招生电话，</w:t>
      </w:r>
      <w:r>
        <w:rPr>
          <w:rFonts w:hint="eastAsia"/>
          <w:color w:val="auto"/>
          <w:lang w:val="en-US" w:eastAsia="zh-CN"/>
        </w:rPr>
        <w:t>023-65913998，65918389</w:t>
      </w:r>
    </w:p>
    <w:p w14:paraId="3DC9F123">
      <w:pPr>
        <w:ind w:firstLine="480" w:firstLineChars="200"/>
        <w:rPr>
          <w:rFonts w:hint="eastAsia" w:ascii="宋体" w:hAnsi="宋体" w:cs="宋体"/>
          <w:color w:val="auto"/>
        </w:rPr>
      </w:pPr>
      <w:r>
        <w:rPr>
          <w:rFonts w:hint="eastAsia" w:ascii="宋体" w:hAnsi="宋体" w:cs="宋体"/>
          <w:color w:val="auto"/>
        </w:rPr>
        <w:t>重庆师范大学本科生院招生电话，</w:t>
      </w:r>
      <w:r>
        <w:rPr>
          <w:rFonts w:hint="eastAsia" w:ascii="宋体" w:hAnsi="宋体" w:cs="宋体"/>
          <w:color w:val="auto"/>
          <w:lang w:eastAsia="zh-CN"/>
        </w:rPr>
        <w:t>023-65911111</w:t>
      </w:r>
    </w:p>
    <w:p w14:paraId="5E6FF82D">
      <w:pPr>
        <w:ind w:firstLine="480" w:firstLineChars="200"/>
        <w:rPr>
          <w:rFonts w:hint="eastAsia" w:ascii="宋体" w:hAnsi="宋体" w:eastAsia="宋体" w:cs="宋体"/>
          <w:color w:val="auto"/>
        </w:rPr>
      </w:pPr>
      <w:r>
        <w:rPr>
          <w:rFonts w:hint="eastAsia" w:ascii="宋体" w:hAnsi="宋体" w:eastAsia="宋体" w:cs="宋体"/>
          <w:color w:val="auto"/>
        </w:rPr>
        <w:t>重庆师范大学本科招生网：</w:t>
      </w:r>
      <w:r>
        <w:rPr>
          <w:rFonts w:hint="eastAsia" w:ascii="宋体" w:hAnsi="宋体" w:eastAsia="宋体" w:cs="宋体"/>
          <w:color w:val="auto"/>
          <w:lang w:val="en-US" w:eastAsia="zh-CN"/>
        </w:rPr>
        <w:t>https://</w:t>
      </w:r>
      <w:r>
        <w:rPr>
          <w:rFonts w:hint="eastAsia" w:ascii="宋体" w:hAnsi="宋体" w:eastAsia="宋体" w:cs="宋体"/>
          <w:color w:val="auto"/>
        </w:rPr>
        <w:t>zsb.cqnu.edu.cn</w:t>
      </w:r>
    </w:p>
    <w:p w14:paraId="4611BC90">
      <w:pPr>
        <w:rPr>
          <w:color w:val="auto"/>
        </w:rPr>
      </w:pPr>
    </w:p>
    <w:p w14:paraId="3998ECC3"/>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CED5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12435">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D1243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ZWRkZjVkMmIyOGNlYmVkYTY5OTIzZWRkZmM3ZTUifQ=="/>
  </w:docVars>
  <w:rsids>
    <w:rsidRoot w:val="00121708"/>
    <w:rsid w:val="00025145"/>
    <w:rsid w:val="00121708"/>
    <w:rsid w:val="00382DEE"/>
    <w:rsid w:val="0048165A"/>
    <w:rsid w:val="006140F3"/>
    <w:rsid w:val="00773FB8"/>
    <w:rsid w:val="008A3172"/>
    <w:rsid w:val="00C576F6"/>
    <w:rsid w:val="00F76E13"/>
    <w:rsid w:val="01B97F5E"/>
    <w:rsid w:val="021A27AB"/>
    <w:rsid w:val="021A5F2D"/>
    <w:rsid w:val="02873BB9"/>
    <w:rsid w:val="036C34DA"/>
    <w:rsid w:val="036F4D79"/>
    <w:rsid w:val="03DE5A5A"/>
    <w:rsid w:val="03FB03BA"/>
    <w:rsid w:val="04310280"/>
    <w:rsid w:val="04BD7D66"/>
    <w:rsid w:val="04E34B6C"/>
    <w:rsid w:val="06C61153"/>
    <w:rsid w:val="06D849E3"/>
    <w:rsid w:val="07807554"/>
    <w:rsid w:val="07B52C0B"/>
    <w:rsid w:val="082E5202"/>
    <w:rsid w:val="084A037D"/>
    <w:rsid w:val="085B58CB"/>
    <w:rsid w:val="087B405D"/>
    <w:rsid w:val="09AB5C07"/>
    <w:rsid w:val="0A6A44EC"/>
    <w:rsid w:val="0AA417AC"/>
    <w:rsid w:val="0AA531D1"/>
    <w:rsid w:val="0AC82E5B"/>
    <w:rsid w:val="0AEE6ECB"/>
    <w:rsid w:val="0B4F1823"/>
    <w:rsid w:val="0B84338B"/>
    <w:rsid w:val="0BEF4CA9"/>
    <w:rsid w:val="0C150325"/>
    <w:rsid w:val="0D10137A"/>
    <w:rsid w:val="0D971E4A"/>
    <w:rsid w:val="0DAE46EF"/>
    <w:rsid w:val="0DDF6E53"/>
    <w:rsid w:val="0DF540CC"/>
    <w:rsid w:val="0FF340DB"/>
    <w:rsid w:val="100B407B"/>
    <w:rsid w:val="112E6273"/>
    <w:rsid w:val="11FC3C7B"/>
    <w:rsid w:val="12543AB7"/>
    <w:rsid w:val="127E28E2"/>
    <w:rsid w:val="12EB3CF0"/>
    <w:rsid w:val="13250FB0"/>
    <w:rsid w:val="13912AE9"/>
    <w:rsid w:val="14B165AE"/>
    <w:rsid w:val="14CB7F9D"/>
    <w:rsid w:val="150A49B0"/>
    <w:rsid w:val="16442095"/>
    <w:rsid w:val="165E3157"/>
    <w:rsid w:val="16E80C72"/>
    <w:rsid w:val="1709543D"/>
    <w:rsid w:val="17732C32"/>
    <w:rsid w:val="17900E7A"/>
    <w:rsid w:val="19526877"/>
    <w:rsid w:val="196F11D7"/>
    <w:rsid w:val="1A3D12D5"/>
    <w:rsid w:val="1A9058A9"/>
    <w:rsid w:val="1AB7523E"/>
    <w:rsid w:val="1B7A1D98"/>
    <w:rsid w:val="1C316C17"/>
    <w:rsid w:val="1C3F6944"/>
    <w:rsid w:val="1C481525"/>
    <w:rsid w:val="1CA94EDC"/>
    <w:rsid w:val="1D295B40"/>
    <w:rsid w:val="1DE63A32"/>
    <w:rsid w:val="1DEB1048"/>
    <w:rsid w:val="1E01086B"/>
    <w:rsid w:val="1E5B61CE"/>
    <w:rsid w:val="1F1615CC"/>
    <w:rsid w:val="20362A4E"/>
    <w:rsid w:val="203D202F"/>
    <w:rsid w:val="21B23AEC"/>
    <w:rsid w:val="21B7196D"/>
    <w:rsid w:val="21DC0055"/>
    <w:rsid w:val="22032E04"/>
    <w:rsid w:val="220426D8"/>
    <w:rsid w:val="22721D38"/>
    <w:rsid w:val="230C5CD0"/>
    <w:rsid w:val="23C16AD3"/>
    <w:rsid w:val="23F5677C"/>
    <w:rsid w:val="23FF75FB"/>
    <w:rsid w:val="24431BDE"/>
    <w:rsid w:val="24D9609E"/>
    <w:rsid w:val="24E30CCB"/>
    <w:rsid w:val="252A1B9E"/>
    <w:rsid w:val="26865DB2"/>
    <w:rsid w:val="26946A53"/>
    <w:rsid w:val="26C556E0"/>
    <w:rsid w:val="27181100"/>
    <w:rsid w:val="277976C4"/>
    <w:rsid w:val="28277120"/>
    <w:rsid w:val="28546167"/>
    <w:rsid w:val="28AB1803"/>
    <w:rsid w:val="2A166E50"/>
    <w:rsid w:val="2A32072A"/>
    <w:rsid w:val="2B2A31B0"/>
    <w:rsid w:val="2B6F32B8"/>
    <w:rsid w:val="2B7E34FB"/>
    <w:rsid w:val="2B8E1711"/>
    <w:rsid w:val="2B9920E3"/>
    <w:rsid w:val="2BBA405C"/>
    <w:rsid w:val="2C1A392C"/>
    <w:rsid w:val="2C414C55"/>
    <w:rsid w:val="2D241E80"/>
    <w:rsid w:val="2D2F71A3"/>
    <w:rsid w:val="2DE25FC3"/>
    <w:rsid w:val="2E13617D"/>
    <w:rsid w:val="2E5642BC"/>
    <w:rsid w:val="2ED1065D"/>
    <w:rsid w:val="2EFF2EDF"/>
    <w:rsid w:val="2F0D7070"/>
    <w:rsid w:val="2F594063"/>
    <w:rsid w:val="2F6D75B3"/>
    <w:rsid w:val="2F831CEA"/>
    <w:rsid w:val="2FE52562"/>
    <w:rsid w:val="302F2F6D"/>
    <w:rsid w:val="3032037E"/>
    <w:rsid w:val="30F35C70"/>
    <w:rsid w:val="30F53DC2"/>
    <w:rsid w:val="310444A3"/>
    <w:rsid w:val="319C46DB"/>
    <w:rsid w:val="322E7A29"/>
    <w:rsid w:val="328B5370"/>
    <w:rsid w:val="329B1C92"/>
    <w:rsid w:val="337C47C4"/>
    <w:rsid w:val="346C205D"/>
    <w:rsid w:val="34D81ECE"/>
    <w:rsid w:val="34E15227"/>
    <w:rsid w:val="3529272A"/>
    <w:rsid w:val="357065AB"/>
    <w:rsid w:val="35E02D14"/>
    <w:rsid w:val="36127662"/>
    <w:rsid w:val="36C02C1A"/>
    <w:rsid w:val="36D84526"/>
    <w:rsid w:val="36F10002"/>
    <w:rsid w:val="36FD3E6E"/>
    <w:rsid w:val="37D50947"/>
    <w:rsid w:val="3821593A"/>
    <w:rsid w:val="382B1748"/>
    <w:rsid w:val="3851621F"/>
    <w:rsid w:val="3A4818A4"/>
    <w:rsid w:val="3A5C6E49"/>
    <w:rsid w:val="3A655FB2"/>
    <w:rsid w:val="3B255741"/>
    <w:rsid w:val="3BE63123"/>
    <w:rsid w:val="3C2D5AA2"/>
    <w:rsid w:val="3CE37662"/>
    <w:rsid w:val="3D136199"/>
    <w:rsid w:val="3D321D80"/>
    <w:rsid w:val="3D7F382F"/>
    <w:rsid w:val="3DB8289D"/>
    <w:rsid w:val="3DD21A36"/>
    <w:rsid w:val="3E720C9E"/>
    <w:rsid w:val="3EA03A5D"/>
    <w:rsid w:val="3EC05EAD"/>
    <w:rsid w:val="3EDA6C30"/>
    <w:rsid w:val="3F054910"/>
    <w:rsid w:val="3FA03467"/>
    <w:rsid w:val="3FD37E62"/>
    <w:rsid w:val="401F7CE5"/>
    <w:rsid w:val="403E28DD"/>
    <w:rsid w:val="40C00A97"/>
    <w:rsid w:val="4153125A"/>
    <w:rsid w:val="4178576E"/>
    <w:rsid w:val="417C4874"/>
    <w:rsid w:val="424E7A14"/>
    <w:rsid w:val="4278084D"/>
    <w:rsid w:val="431F6F1A"/>
    <w:rsid w:val="43572B58"/>
    <w:rsid w:val="43BD6E5F"/>
    <w:rsid w:val="45434288"/>
    <w:rsid w:val="45A524D3"/>
    <w:rsid w:val="47235AEE"/>
    <w:rsid w:val="48272AF9"/>
    <w:rsid w:val="482A4397"/>
    <w:rsid w:val="48E21116"/>
    <w:rsid w:val="4977360C"/>
    <w:rsid w:val="49B7722D"/>
    <w:rsid w:val="49D076CB"/>
    <w:rsid w:val="4A857AC4"/>
    <w:rsid w:val="4ABE6733"/>
    <w:rsid w:val="4B104BE8"/>
    <w:rsid w:val="4BEB0924"/>
    <w:rsid w:val="4C0E6AEE"/>
    <w:rsid w:val="4C5F34F9"/>
    <w:rsid w:val="4C7107E7"/>
    <w:rsid w:val="4CAC181F"/>
    <w:rsid w:val="4D3857AC"/>
    <w:rsid w:val="4DEA6AA2"/>
    <w:rsid w:val="4E4837C9"/>
    <w:rsid w:val="4F6A776F"/>
    <w:rsid w:val="4F6C1739"/>
    <w:rsid w:val="50245B70"/>
    <w:rsid w:val="5060304C"/>
    <w:rsid w:val="50630D8E"/>
    <w:rsid w:val="50A038BE"/>
    <w:rsid w:val="50F33EC0"/>
    <w:rsid w:val="50FF5BE7"/>
    <w:rsid w:val="51A4340C"/>
    <w:rsid w:val="51A72505"/>
    <w:rsid w:val="52BB4751"/>
    <w:rsid w:val="544D7D8B"/>
    <w:rsid w:val="54BC6CBF"/>
    <w:rsid w:val="5539030F"/>
    <w:rsid w:val="553A7201"/>
    <w:rsid w:val="56614AC6"/>
    <w:rsid w:val="57014E5D"/>
    <w:rsid w:val="57D82650"/>
    <w:rsid w:val="584E7C2E"/>
    <w:rsid w:val="58586CFE"/>
    <w:rsid w:val="587753D7"/>
    <w:rsid w:val="58B77EC9"/>
    <w:rsid w:val="58BA52C3"/>
    <w:rsid w:val="592330B6"/>
    <w:rsid w:val="594D690A"/>
    <w:rsid w:val="59875AED"/>
    <w:rsid w:val="599B50F5"/>
    <w:rsid w:val="59D625D1"/>
    <w:rsid w:val="5AB57A1F"/>
    <w:rsid w:val="5B027AD6"/>
    <w:rsid w:val="5B0D2022"/>
    <w:rsid w:val="5C1B1D19"/>
    <w:rsid w:val="5C5477DD"/>
    <w:rsid w:val="5CE45005"/>
    <w:rsid w:val="5CE62B2B"/>
    <w:rsid w:val="5D55380D"/>
    <w:rsid w:val="5DAF116F"/>
    <w:rsid w:val="5E1D07CE"/>
    <w:rsid w:val="5EB17168"/>
    <w:rsid w:val="5EBA426F"/>
    <w:rsid w:val="5EC405CB"/>
    <w:rsid w:val="5F223BC2"/>
    <w:rsid w:val="60E54AEC"/>
    <w:rsid w:val="6110461A"/>
    <w:rsid w:val="61371BA7"/>
    <w:rsid w:val="61840B64"/>
    <w:rsid w:val="61994610"/>
    <w:rsid w:val="63576530"/>
    <w:rsid w:val="655F598E"/>
    <w:rsid w:val="66A3383B"/>
    <w:rsid w:val="675328B5"/>
    <w:rsid w:val="67DF3EA2"/>
    <w:rsid w:val="68012F0F"/>
    <w:rsid w:val="688D19A9"/>
    <w:rsid w:val="68D73772"/>
    <w:rsid w:val="690D143F"/>
    <w:rsid w:val="69586B5E"/>
    <w:rsid w:val="69C97A5C"/>
    <w:rsid w:val="6A462E5B"/>
    <w:rsid w:val="6A7259FE"/>
    <w:rsid w:val="6A8671F8"/>
    <w:rsid w:val="6AA302AD"/>
    <w:rsid w:val="6ABE009D"/>
    <w:rsid w:val="6B157CDC"/>
    <w:rsid w:val="6B7C08DA"/>
    <w:rsid w:val="6BEA3CBA"/>
    <w:rsid w:val="6BEC358E"/>
    <w:rsid w:val="6CB5251A"/>
    <w:rsid w:val="6D2F7BD6"/>
    <w:rsid w:val="6D837F22"/>
    <w:rsid w:val="6DAF6F69"/>
    <w:rsid w:val="6DB93944"/>
    <w:rsid w:val="6DCB7773"/>
    <w:rsid w:val="6DDB0E4F"/>
    <w:rsid w:val="6F045B69"/>
    <w:rsid w:val="6F0D2199"/>
    <w:rsid w:val="6F667AFB"/>
    <w:rsid w:val="6FC54822"/>
    <w:rsid w:val="6FE729EA"/>
    <w:rsid w:val="70552EF9"/>
    <w:rsid w:val="70BF74C3"/>
    <w:rsid w:val="70FF1FB5"/>
    <w:rsid w:val="7101188A"/>
    <w:rsid w:val="71341C5F"/>
    <w:rsid w:val="713954C7"/>
    <w:rsid w:val="71616CD5"/>
    <w:rsid w:val="737A366E"/>
    <w:rsid w:val="74221DD8"/>
    <w:rsid w:val="74EE4144"/>
    <w:rsid w:val="753179E2"/>
    <w:rsid w:val="753507D9"/>
    <w:rsid w:val="75EF084A"/>
    <w:rsid w:val="764D1B7C"/>
    <w:rsid w:val="768913A4"/>
    <w:rsid w:val="773705FD"/>
    <w:rsid w:val="775B44AD"/>
    <w:rsid w:val="788D434B"/>
    <w:rsid w:val="78BE7503"/>
    <w:rsid w:val="7910548C"/>
    <w:rsid w:val="793E5945"/>
    <w:rsid w:val="79447FAA"/>
    <w:rsid w:val="7A100309"/>
    <w:rsid w:val="7AAC4F5C"/>
    <w:rsid w:val="7ADB139D"/>
    <w:rsid w:val="7B6053D2"/>
    <w:rsid w:val="7C10151B"/>
    <w:rsid w:val="7C63789C"/>
    <w:rsid w:val="7DAB1833"/>
    <w:rsid w:val="7DB36601"/>
    <w:rsid w:val="7DCC321F"/>
    <w:rsid w:val="7E33329E"/>
    <w:rsid w:val="7F686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eastAsia="宋体" w:asciiTheme="minorHAnsi" w:hAnsiTheme="minorHAnsi" w:cstheme="minorBidi"/>
      <w:kern w:val="2"/>
      <w:sz w:val="24"/>
      <w:szCs w:val="24"/>
      <w:lang w:val="en-US" w:eastAsia="zh-CN" w:bidi="ar-SA"/>
    </w:rPr>
  </w:style>
  <w:style w:type="paragraph" w:styleId="2">
    <w:name w:val="heading 1"/>
    <w:basedOn w:val="1"/>
    <w:next w:val="1"/>
    <w:link w:val="12"/>
    <w:qFormat/>
    <w:uiPriority w:val="0"/>
    <w:pPr>
      <w:keepNext/>
      <w:keepLines/>
      <w:spacing w:before="340" w:after="330" w:line="576" w:lineRule="auto"/>
      <w:jc w:val="center"/>
      <w:outlineLvl w:val="0"/>
    </w:pPr>
    <w:rPr>
      <w:rFonts w:eastAsia="黑体"/>
      <w:b/>
      <w:kern w:val="44"/>
      <w:sz w:val="30"/>
    </w:rPr>
  </w:style>
  <w:style w:type="paragraph" w:styleId="3">
    <w:name w:val="heading 2"/>
    <w:basedOn w:val="1"/>
    <w:next w:val="1"/>
    <w:autoRedefine/>
    <w:semiHidden/>
    <w:unhideWhenUsed/>
    <w:qFormat/>
    <w:uiPriority w:val="0"/>
    <w:pPr>
      <w:keepNext/>
      <w:keepLines/>
      <w:spacing w:before="260" w:after="260" w:line="413" w:lineRule="auto"/>
      <w:outlineLvl w:val="1"/>
    </w:pPr>
    <w:rPr>
      <w:rFonts w:ascii="Arial" w:hAnsi="Arial" w:eastAsia="黑体"/>
      <w:b/>
    </w:rPr>
  </w:style>
  <w:style w:type="paragraph" w:styleId="4">
    <w:name w:val="heading 3"/>
    <w:basedOn w:val="1"/>
    <w:next w:val="1"/>
    <w:semiHidden/>
    <w:unhideWhenUsed/>
    <w:qFormat/>
    <w:uiPriority w:val="0"/>
    <w:pPr>
      <w:keepNext/>
      <w:keepLines/>
      <w:spacing w:before="260" w:after="260" w:line="413" w:lineRule="auto"/>
      <w:jc w:val="left"/>
      <w:outlineLvl w:val="2"/>
    </w:pPr>
    <w:rPr>
      <w:b/>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link w:val="14"/>
    <w:qFormat/>
    <w:uiPriority w:val="0"/>
    <w:pPr>
      <w:tabs>
        <w:tab w:val="center" w:pos="4153"/>
        <w:tab w:val="right" w:pos="8306"/>
      </w:tabs>
      <w:snapToGrid w:val="0"/>
      <w:spacing w:line="240" w:lineRule="auto"/>
      <w:jc w:val="left"/>
    </w:pPr>
    <w:rPr>
      <w:sz w:val="18"/>
      <w:szCs w:val="18"/>
    </w:rPr>
  </w:style>
  <w:style w:type="paragraph" w:styleId="7">
    <w:name w:val="header"/>
    <w:basedOn w:val="1"/>
    <w:link w:val="13"/>
    <w:qFormat/>
    <w:uiPriority w:val="0"/>
    <w:pPr>
      <w:tabs>
        <w:tab w:val="center" w:pos="4153"/>
        <w:tab w:val="right" w:pos="8306"/>
      </w:tabs>
      <w:snapToGrid w:val="0"/>
      <w:spacing w:line="240" w:lineRule="auto"/>
      <w:jc w:val="center"/>
    </w:pPr>
    <w:rPr>
      <w:sz w:val="18"/>
      <w:szCs w:val="18"/>
    </w:rPr>
  </w:style>
  <w:style w:type="paragraph" w:styleId="8">
    <w:name w:val="Title"/>
    <w:basedOn w:val="1"/>
    <w:next w:val="1"/>
    <w:qFormat/>
    <w:uiPriority w:val="0"/>
    <w:pPr>
      <w:keepNext w:val="0"/>
      <w:keepLines w:val="0"/>
      <w:widowControl w:val="0"/>
      <w:suppressLineNumbers w:val="0"/>
      <w:suppressAutoHyphens/>
      <w:spacing w:before="0" w:beforeAutospacing="0" w:after="0" w:afterAutospacing="0" w:line="594" w:lineRule="exact"/>
      <w:ind w:left="0" w:right="0" w:firstLine="640" w:firstLineChars="200"/>
      <w:jc w:val="both"/>
      <w:textAlignment w:val="baseline"/>
    </w:pPr>
    <w:rPr>
      <w:rFonts w:hint="default" w:ascii="Arial" w:hAnsi="Arial" w:eastAsia="方正仿宋_GBK" w:cs="Times New Roman"/>
      <w:color w:val="000000"/>
      <w:kern w:val="2"/>
      <w:sz w:val="32"/>
      <w:szCs w:val="32"/>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link w:val="2"/>
    <w:qFormat/>
    <w:uiPriority w:val="0"/>
    <w:rPr>
      <w:rFonts w:eastAsia="黑体" w:asciiTheme="minorHAnsi" w:hAnsiTheme="minorHAnsi"/>
      <w:b/>
      <w:kern w:val="44"/>
      <w:sz w:val="30"/>
    </w:rPr>
  </w:style>
  <w:style w:type="character" w:customStyle="1" w:styleId="13">
    <w:name w:val="页眉 字符"/>
    <w:basedOn w:val="11"/>
    <w:link w:val="7"/>
    <w:qFormat/>
    <w:uiPriority w:val="0"/>
    <w:rPr>
      <w:rFonts w:asciiTheme="minorHAnsi" w:hAnsiTheme="minorHAnsi" w:cstheme="minorBidi"/>
      <w:kern w:val="2"/>
      <w:sz w:val="18"/>
      <w:szCs w:val="18"/>
    </w:rPr>
  </w:style>
  <w:style w:type="character" w:customStyle="1" w:styleId="14">
    <w:name w:val="页脚 字符"/>
    <w:basedOn w:val="11"/>
    <w:link w:val="6"/>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0f6be79a-faa7-4a0a-ae3d-562836eaf84c</errorID>
      <errorWord>柴柯夫斯基</errorWord>
      <group>L1_Word</group>
      <groupName>字词问题</groupName>
      <ability>L2_Typo</ability>
      <abilityName>字词错误</abilityName>
      <candidateList>
        <item>柴可夫斯基</item>
      </candidateList>
      <explain/>
      <paraID>557D16CA</paraID>
      <start>50</start>
      <end>55</end>
      <status>ignored</status>
      <modifiedWord/>
      <trackRevisions>false</trackRevisions>
    </reviewItem>
    <reviewItem>
      <errorID>60630b7d-1295-412d-b45d-fc58c5f4736d</errorID>
      <errorWord>具有</errorWord>
      <group>L1_AI</group>
      <groupName>深度校对</groupName>
      <ability>L2_AI_Grammar</ability>
      <abilityName>语法纠错</abilityName>
      <candidateList>
        <item>使其具有</item>
      </candidateList>
      <explain/>
      <paraID>5FEE833A</paraID>
      <start>64</start>
      <end>68</end>
      <status>modified</status>
      <modifiedWord>使其具有</modifiedWord>
      <trackRevisions>false</trackRevisions>
    </reviewItem>
    <reviewItem>
      <errorID>0d68e69d-0bd9-4e2d-a06c-2fea47150e22</errorID>
      <errorWord>独奏</errorWord>
      <group>L1_AI</group>
      <groupName>深度校对</groupName>
      <ability>L2_AI_Word</ability>
      <abilityName>字词纠错</abilityName>
      <candidateList>
        <item>的独奏</item>
      </candidateList>
      <explain/>
      <paraID>5FEE833A</paraID>
      <start>123</start>
      <end>126</end>
      <status>modified</status>
      <modifiedWord>的独奏</modifiedWord>
      <trackRevisions>false</trackRevisions>
    </reviewItem>
    <reviewItem>
      <errorID>4752c3ee-b11a-4836-b46b-e25988cfd016</errorID>
      <errorWord>国内国际</errorWord>
      <group>L1_AI</group>
      <groupName>深度校对</groupName>
      <ability>L2_AI_Word</ability>
      <abilityName>字词纠错</abilityName>
      <candidateList>
        <item>国内外</item>
      </candidateList>
      <explain/>
      <paraID>5FEE833A</paraID>
      <start>139</start>
      <end>142</end>
      <status>modified</status>
      <modifiedWord>国内外</modifiedWord>
      <trackRevisions>false</trackRevisions>
    </reviewItem>
    <reviewItem>
      <errorID>ff45e59e-5a07-42f0-b950-b2bdbb007ba6</errorID>
      <errorWord>取得</errorWord>
      <group>L1_AI</group>
      <groupName>深度校对</groupName>
      <ability>L2_AI_Word</ability>
      <abilityName>字词纠错</abilityName>
      <candidateList>
        <item>中取得</item>
      </candidateList>
      <explain/>
      <paraID>5FEE833A</paraID>
      <start>146</start>
      <end>149</end>
      <status>modified</status>
      <modifiedWord>中取得</modifiedWord>
      <trackRevisions>false</trackRevisions>
    </reviewItem>
    <reviewItem>
      <errorID>61a62916-888d-4ef5-ba42-75037d9eaada</errorID>
      <errorWord>、和</errorWord>
      <group>L1_Punc</group>
      <groupName>标点问题</groupName>
      <ability>L2_Punc</ability>
      <abilityName>标点符号检查</abilityName>
      <candidateList>
        <item>和</item>
      </candidateList>
      <explain>“及”“和”“等”连词前不宜使用顿号，建议删除（或使用逗号）。</explain>
      <paraID> 43418F8</paraID>
      <start>25</start>
      <end>27</end>
      <status>ignored</status>
      <modifiedWord/>
      <trackRevisions>false</trackRevisions>
    </reviewItem>
    <reviewItem>
      <errorID>b27e3783-2a4a-42e5-ac9a-d3fa8c32c272</errorID>
      <errorWord>掌握</errorWord>
      <group>L1_AI</group>
      <groupName>深度校对</groupName>
      <ability>L2_AI_Grammar</ability>
      <abilityName>语法纠错</abilityName>
      <candidateList>
        <item>使其掌握</item>
      </candidateList>
      <explain/>
      <paraID>5AE37BE0</paraID>
      <start>61</start>
      <end>65</end>
      <status>modified</status>
      <modifiedWord>使其掌握</modifiedWord>
      <trackRevisions>false</trackRevisions>
    </reviewItem>
    <reviewItem>
      <errorID>f2911077-a9d2-4f4a-ad6a-30453b28e04a</errorID>
      <errorWord>能</errorWord>
      <group>L1_AI</group>
      <groupName>深度校对</groupName>
      <ability>L2_AI_Word</ability>
      <abilityName>字词纠错</abilityName>
      <candidateList>
        <item>能够</item>
      </candidateList>
      <explain/>
      <paraID>5AE37BE0</paraID>
      <start>105</start>
      <end>107</end>
      <status>modified</status>
      <modifiedWord>能够</modifiedWord>
      <trackRevisions>false</trackRevisions>
    </reviewItem>
    <reviewItem>
      <errorID>27014574-6544-4713-8634-129702e3cb77</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5AE37BE0</paraID>
      <start>123</start>
      <end>126</end>
      <status>ignored</status>
      <modifiedWord/>
      <trackRevisions>false</trackRevisions>
    </reviewItem>
    <reviewItem>
      <errorID>a0c08920-01f7-4b89-8ce6-3aa8d9f1872f</errorID>
      <errorWord>、和</errorWord>
      <group>L1_Punc</group>
      <groupName>标点问题</groupName>
      <ability>L2_Punc</ability>
      <abilityName>标点符号检查</abilityName>
      <candidateList>
        <item>和</item>
      </candidateList>
      <explain>“及”“和”“等”连词前不宜使用顿号，建议删除（或使用逗号）。</explain>
      <paraID>1D00F11C</paraID>
      <start>30</start>
      <end>32</end>
      <status>ignored</status>
      <modifiedWord/>
      <trackRevisions>false</trackRevisions>
    </reviewItem>
    <reviewItem>
      <errorID>634caaa8-1841-4311-ba2b-2386c30ff958</errorID>
      <errorWord>等省份</errorWord>
      <group>L1_Knowledge</group>
      <groupName>知识性问题</groupName>
      <ability>L2_Location</ability>
      <abilityName>地名检查</abilityName>
      <candidateList>
        <item>等省（区、市）</item>
      </candidateList>
      <explain>注意行政区划中是否包含自治区、直辖市、特别行政区。</explain>
      <paraID>4DB7899C</paraID>
      <start>117</start>
      <end>124</end>
      <status>modified</status>
      <modifiedWord>等省（区、市）</modifiedWord>
      <trackRevisions>false</trackRevisions>
    </reviewItem>
    <reviewItem>
      <errorID>309f40d4-650b-4973-bafe-f01a12164f05</errorID>
      <errorWord>上级主管部分</errorWord>
      <group>L1_AI</group>
      <groupName>深度校对</groupName>
      <ability>L2_AI_Grammar</ability>
      <abilityName>语法纠错</abilityName>
      <candidateList>
        <item>教育部</item>
      </candidateList>
      <explain/>
      <paraID>4DB7899C</paraID>
      <start>141</start>
      <end>147</end>
      <status>ignored</status>
      <modifiedWord/>
      <trackRevisions>false</trackRevisions>
    </reviewItem>
    <reviewItem>
      <errorID>49b3a2ce-5eea-47f5-9f48-5e74928a0245</errorID>
      <errorWord> </errorWord>
      <group>L1_AI</group>
      <groupName>深度校对</groupName>
      <ability>L2_AI_Punc</ability>
      <abilityName>标点纠错</abilityName>
      <candidateList>
        <item>·</item>
      </candidateList>
      <explain/>
      <paraID>7E8A5FA4</paraID>
      <start>38</start>
      <end>39</end>
      <status>ignored</status>
      <modifiedWord/>
      <trackRevisions>false</trackRevisions>
    </reviewItem>
    <reviewItem>
      <errorID>fe01590b-ad2a-4d23-88f6-f6d2f902dedf</errorID>
      <errorWord>023—65911111</errorWord>
      <group>L1_Punc</group>
      <groupName>标点问题</groupName>
      <ability>L2_Punc</ability>
      <abilityName>标点符号检查</abilityName>
      <candidateList>
        <item>023-65911111</item>
      </candidateList>
      <explain>电话号码使用短横线。</explain>
      <paraID>3DC9F123</paraID>
      <start>15</start>
      <end>27</end>
      <status>modified</status>
      <modifiedWord>023-65911111</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b9500b-e5ee-44f0-88c5-440ffb74b6ec}">
  <ds:schemaRefs/>
</ds:datastoreItem>
</file>

<file path=docProps/app.xml><?xml version="1.0" encoding="utf-8"?>
<Properties xmlns="http://schemas.openxmlformats.org/officeDocument/2006/extended-properties" xmlns:vt="http://schemas.openxmlformats.org/officeDocument/2006/docPropsVTypes">
  <Template>Normal</Template>
  <Pages>4</Pages>
  <Words>1405</Words>
  <Characters>1432</Characters>
  <Lines>108</Lines>
  <Paragraphs>126</Paragraphs>
  <TotalTime>1</TotalTime>
  <ScaleCrop>false</ScaleCrop>
  <LinksUpToDate>false</LinksUpToDate>
  <CharactersWithSpaces>1444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2026-02-10T16:46:00Z</dcterms:created>
  <dc:creator>吴婧瑀</dc:creator>
  <cp:lastModifiedBy>华哥</cp:lastModifiedBy>
  <dcterms:modified xsi:type="dcterms:W3CDTF">2026-04-16T08:07:02Z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B19B9F6980384935BE04CAA8E220EBC5_13</vt:lpwstr>
  </property>
  <property fmtid="{D5CDD505-2E9C-101B-9397-08002B2CF9AE}" pid="4" name="KSOTemplateDocerSaveRecord">
    <vt:lpwstr>eyJoZGlkIjoiYjJhZTlhOTE0NmEwY2M3YjhkMDhmZjJjNzQ2Y2E4MGQiLCJ1c2VySWQiOiI2Mjk0NzQ2MTUifQ==</vt:lpwstr>
  </property>
</Properties>
</file>